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B7B2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240" w:lineRule="auto"/>
        <w:ind w:left="0" w:leftChars="0" w:firstLine="0" w:firstLineChars="0"/>
        <w:jc w:val="left"/>
        <w:textAlignment w:val="auto"/>
        <w:rPr>
          <w:rFonts w:hint="default" w:ascii="Times New Roman" w:hAnsi="Times New Roman" w:eastAsia="黑体" w:cs="Times New Roman"/>
          <w:b w:val="0"/>
          <w:bCs w:val="0"/>
          <w:szCs w:val="32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b w:val="0"/>
          <w:bCs w:val="0"/>
          <w:szCs w:val="32"/>
        </w:rPr>
        <w:t>附件</w:t>
      </w:r>
      <w:r>
        <w:rPr>
          <w:rFonts w:hint="default" w:ascii="Times New Roman" w:hAnsi="Times New Roman" w:eastAsia="黑体" w:cs="Times New Roman"/>
          <w:b w:val="0"/>
          <w:bCs w:val="0"/>
          <w:szCs w:val="32"/>
          <w:lang w:val="en-US" w:eastAsia="zh-CN"/>
        </w:rPr>
        <w:t>1</w:t>
      </w:r>
    </w:p>
    <w:p w14:paraId="21221D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napToGrid w:val="0"/>
          <w:color w:val="000000"/>
          <w:spacing w:val="-7"/>
          <w:kern w:val="0"/>
          <w:sz w:val="36"/>
          <w:szCs w:val="36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napToGrid w:val="0"/>
          <w:color w:val="000000"/>
          <w:spacing w:val="-7"/>
          <w:kern w:val="0"/>
          <w:sz w:val="36"/>
          <w:szCs w:val="36"/>
          <w:lang w:val="en-US" w:eastAsia="zh-CN" w:bidi="ar-SA"/>
        </w:rPr>
        <w:t>第一批慢性病防治适宜技术与服务试行清单</w:t>
      </w:r>
    </w:p>
    <w:tbl>
      <w:tblPr>
        <w:tblStyle w:val="4"/>
        <w:tblpPr w:leftFromText="180" w:rightFromText="180" w:vertAnchor="text" w:horzAnchor="page" w:tblpXSpec="center" w:tblpY="389"/>
        <w:tblOverlap w:val="never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7"/>
        <w:gridCol w:w="3000"/>
        <w:gridCol w:w="10461"/>
      </w:tblGrid>
      <w:tr w14:paraId="780960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5000" w:type="pct"/>
            <w:gridSpan w:val="3"/>
            <w:shd w:val="clear" w:color="auto" w:fill="auto"/>
            <w:noWrap/>
            <w:vAlign w:val="center"/>
          </w:tcPr>
          <w:p w14:paraId="01A1339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szCs w:val="32"/>
                <w:lang w:val="en-US" w:eastAsia="zh-CN"/>
              </w:rPr>
              <w:t>一、慢病管理模式</w:t>
            </w:r>
          </w:p>
        </w:tc>
      </w:tr>
      <w:tr w14:paraId="4E5EE6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249" w:type="pct"/>
            <w:shd w:val="clear" w:color="auto" w:fill="auto"/>
            <w:noWrap/>
            <w:vAlign w:val="center"/>
          </w:tcPr>
          <w:p w14:paraId="49A066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058" w:type="pct"/>
            <w:shd w:val="clear" w:color="auto" w:fill="auto"/>
            <w:noWrap/>
            <w:vAlign w:val="center"/>
          </w:tcPr>
          <w:p w14:paraId="24856F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技术（服务）名称</w:t>
            </w:r>
          </w:p>
        </w:tc>
        <w:tc>
          <w:tcPr>
            <w:tcW w:w="3691" w:type="pct"/>
            <w:shd w:val="clear" w:color="auto" w:fill="auto"/>
            <w:vAlign w:val="center"/>
          </w:tcPr>
          <w:p w14:paraId="5D64F8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技术（服务）内容</w:t>
            </w:r>
          </w:p>
        </w:tc>
      </w:tr>
      <w:tr w14:paraId="1C6913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249" w:type="pct"/>
            <w:shd w:val="clear" w:color="auto" w:fill="auto"/>
            <w:noWrap/>
            <w:vAlign w:val="center"/>
          </w:tcPr>
          <w:p w14:paraId="11B059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1-1</w:t>
            </w:r>
          </w:p>
        </w:tc>
        <w:tc>
          <w:tcPr>
            <w:tcW w:w="1058" w:type="pct"/>
            <w:shd w:val="clear" w:color="auto" w:fill="auto"/>
            <w:noWrap/>
            <w:vAlign w:val="center"/>
          </w:tcPr>
          <w:p w14:paraId="482E56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双医协同下基层慢病四级诊疗体系构建与推广项目</w:t>
            </w:r>
          </w:p>
        </w:tc>
        <w:tc>
          <w:tcPr>
            <w:tcW w:w="3691" w:type="pct"/>
            <w:shd w:val="clear" w:color="auto" w:fill="auto"/>
            <w:vAlign w:val="center"/>
          </w:tcPr>
          <w:p w14:paraId="78FB6B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利用</w:t>
            </w: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AI医生承担卫生健康部门的各类任务</w:t>
            </w:r>
            <w:r>
              <w:rPr>
                <w:rFonts w:hint="eastAsia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，赋能提升基层诊疗能力，赋能医生科研与临床决策</w:t>
            </w:r>
          </w:p>
        </w:tc>
      </w:tr>
      <w:tr w14:paraId="7E8C1F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249" w:type="pct"/>
            <w:shd w:val="clear" w:color="auto" w:fill="auto"/>
            <w:noWrap/>
            <w:vAlign w:val="center"/>
          </w:tcPr>
          <w:p w14:paraId="3AA175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1-2</w:t>
            </w:r>
          </w:p>
        </w:tc>
        <w:tc>
          <w:tcPr>
            <w:tcW w:w="1058" w:type="pct"/>
            <w:shd w:val="clear" w:color="auto" w:fill="auto"/>
            <w:noWrap/>
            <w:vAlign w:val="center"/>
          </w:tcPr>
          <w:p w14:paraId="1D4B6D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数字驱动的肿瘤全病程管理服务</w:t>
            </w:r>
          </w:p>
        </w:tc>
        <w:tc>
          <w:tcPr>
            <w:tcW w:w="3691" w:type="pct"/>
            <w:shd w:val="clear" w:color="auto" w:fill="auto"/>
            <w:vAlign w:val="center"/>
          </w:tcPr>
          <w:p w14:paraId="79A57D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以AI辅助系统和专业服务团队为双核心驱动，围绕肿瘤患者的关键健康节点，提供治疗任务智能提醒、症状风险预警、在线咨询支持、协助就医服务、心理疏导及营养运动干预等服务模块</w:t>
            </w:r>
            <w:r>
              <w:rPr>
                <w:rFonts w:hint="eastAsia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，开展</w:t>
            </w: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“智能识别+主动干预+持续陪伴”的闭环管理模式</w:t>
            </w:r>
          </w:p>
        </w:tc>
      </w:tr>
      <w:tr w14:paraId="0A8ABB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249" w:type="pct"/>
            <w:shd w:val="clear" w:color="auto" w:fill="auto"/>
            <w:noWrap/>
            <w:vAlign w:val="center"/>
          </w:tcPr>
          <w:p w14:paraId="3A226B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1-3</w:t>
            </w:r>
          </w:p>
        </w:tc>
        <w:tc>
          <w:tcPr>
            <w:tcW w:w="1058" w:type="pct"/>
            <w:shd w:val="clear" w:color="auto" w:fill="auto"/>
            <w:noWrap/>
            <w:vAlign w:val="center"/>
          </w:tcPr>
          <w:p w14:paraId="3A0F3E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基于数字技术的区域慢病整合管理平台构建与模式创新</w:t>
            </w:r>
          </w:p>
        </w:tc>
        <w:tc>
          <w:tcPr>
            <w:tcW w:w="3691" w:type="pct"/>
            <w:shd w:val="clear" w:color="auto" w:fill="auto"/>
            <w:vAlign w:val="center"/>
          </w:tcPr>
          <w:p w14:paraId="05E2C9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集成四大病种（糖尿病/高血压/COPD/乳腺癌）的</w:t>
            </w:r>
            <w:r>
              <w:rPr>
                <w:rFonts w:hint="eastAsia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</w:t>
            </w: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防-筛-诊-治-康</w:t>
            </w:r>
            <w:r>
              <w:rPr>
                <w:rFonts w:hint="eastAsia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”</w:t>
            </w: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全流程数字化管理平台</w:t>
            </w:r>
            <w:r>
              <w:rPr>
                <w:rFonts w:hint="eastAsia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，包含</w:t>
            </w: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分级诊疗协同系统（基层卫生院</w:t>
            </w:r>
            <w:r>
              <w:rPr>
                <w:rFonts w:hint="eastAsia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－</w:t>
            </w: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三级医院双向转诊、分层协同管理）</w:t>
            </w:r>
            <w:r>
              <w:rPr>
                <w:rFonts w:hint="eastAsia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人群动态风险评估引擎</w:t>
            </w:r>
            <w:r>
              <w:rPr>
                <w:rFonts w:hint="eastAsia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等</w:t>
            </w:r>
          </w:p>
        </w:tc>
      </w:tr>
      <w:tr w14:paraId="6D4CCA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249" w:type="pct"/>
            <w:shd w:val="clear" w:color="auto" w:fill="auto"/>
            <w:noWrap/>
            <w:vAlign w:val="center"/>
          </w:tcPr>
          <w:p w14:paraId="775EF4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1-4</w:t>
            </w:r>
          </w:p>
        </w:tc>
        <w:tc>
          <w:tcPr>
            <w:tcW w:w="1058" w:type="pct"/>
            <w:shd w:val="clear" w:color="auto" w:fill="auto"/>
            <w:noWrap/>
            <w:vAlign w:val="center"/>
          </w:tcPr>
          <w:p w14:paraId="482E28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公卫基层医疗慢病管理能力建设方案</w:t>
            </w:r>
          </w:p>
        </w:tc>
        <w:tc>
          <w:tcPr>
            <w:tcW w:w="3691" w:type="pct"/>
            <w:shd w:val="clear" w:color="auto" w:fill="auto"/>
            <w:vAlign w:val="center"/>
          </w:tcPr>
          <w:p w14:paraId="5CE414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集成医院全科室设备针对全民健康体检等，公卫服务项目的数据采集 、数据查询 、数据储存为一体的整合型系统。</w:t>
            </w:r>
          </w:p>
        </w:tc>
      </w:tr>
      <w:tr w14:paraId="7CA45D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249" w:type="pct"/>
            <w:shd w:val="clear" w:color="auto" w:fill="auto"/>
            <w:noWrap/>
            <w:vAlign w:val="center"/>
          </w:tcPr>
          <w:p w14:paraId="0E06BC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1-5</w:t>
            </w:r>
          </w:p>
        </w:tc>
        <w:tc>
          <w:tcPr>
            <w:tcW w:w="1058" w:type="pct"/>
            <w:shd w:val="clear" w:color="auto" w:fill="auto"/>
            <w:noWrap/>
            <w:vAlign w:val="center"/>
          </w:tcPr>
          <w:p w14:paraId="04F943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基于风险动态分级的慢病防控管理模式  </w:t>
            </w:r>
          </w:p>
        </w:tc>
        <w:tc>
          <w:tcPr>
            <w:tcW w:w="3691" w:type="pct"/>
            <w:shd w:val="clear" w:color="auto" w:fill="auto"/>
            <w:vAlign w:val="center"/>
          </w:tcPr>
          <w:p w14:paraId="0FB9F3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聚焦慢阻肺病、糖尿病等重点病种，</w:t>
            </w:r>
            <w:r>
              <w:rPr>
                <w:rFonts w:hint="eastAsia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开展</w:t>
            </w: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风险动态分级和精准化管理。构建“区、镇、村”三级慢病服务体系，实现全域覆盖</w:t>
            </w:r>
            <w:r>
              <w:rPr>
                <w:rFonts w:hint="eastAsia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。</w:t>
            </w:r>
          </w:p>
        </w:tc>
      </w:tr>
      <w:tr w14:paraId="226256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249" w:type="pct"/>
            <w:shd w:val="clear" w:color="auto" w:fill="auto"/>
            <w:noWrap/>
            <w:vAlign w:val="center"/>
          </w:tcPr>
          <w:p w14:paraId="727968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1-6</w:t>
            </w:r>
          </w:p>
        </w:tc>
        <w:tc>
          <w:tcPr>
            <w:tcW w:w="1058" w:type="pct"/>
            <w:shd w:val="clear" w:color="auto" w:fill="auto"/>
            <w:noWrap/>
            <w:vAlign w:val="center"/>
          </w:tcPr>
          <w:p w14:paraId="2CC7F3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慢性病管理医防融合平台</w:t>
            </w:r>
          </w:p>
        </w:tc>
        <w:tc>
          <w:tcPr>
            <w:tcW w:w="3691" w:type="pct"/>
            <w:shd w:val="clear" w:color="auto" w:fill="auto"/>
            <w:vAlign w:val="center"/>
          </w:tcPr>
          <w:p w14:paraId="2C4339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依托医共体建设，以家庭医生服务为载体，将高血压、糖尿病（以下简称两慢病）、慢性阻塞性肺病、腰椎间盘突出、脑卒中等病人作为重点人群实施“3+2”分类管理</w:t>
            </w:r>
            <w:r>
              <w:rPr>
                <w:rFonts w:hint="eastAsia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打造“三级综合医院－二级综合医院－社区卫生服务中心（乡镇卫生院）－村卫生室”多级深度整合与联动的“全专融合”慢性病防控新模式</w:t>
            </w:r>
          </w:p>
        </w:tc>
      </w:tr>
      <w:tr w14:paraId="5CAD28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249" w:type="pct"/>
            <w:shd w:val="clear" w:color="auto" w:fill="auto"/>
            <w:noWrap/>
            <w:vAlign w:val="center"/>
          </w:tcPr>
          <w:p w14:paraId="183559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1-7</w:t>
            </w:r>
          </w:p>
        </w:tc>
        <w:tc>
          <w:tcPr>
            <w:tcW w:w="1058" w:type="pct"/>
            <w:shd w:val="clear" w:color="auto" w:fill="auto"/>
            <w:noWrap/>
            <w:vAlign w:val="center"/>
          </w:tcPr>
          <w:p w14:paraId="17E072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物联网慢病管理系统</w:t>
            </w:r>
          </w:p>
        </w:tc>
        <w:tc>
          <w:tcPr>
            <w:tcW w:w="3691" w:type="pct"/>
            <w:shd w:val="clear" w:color="auto" w:fill="auto"/>
            <w:vAlign w:val="center"/>
          </w:tcPr>
          <w:p w14:paraId="7D68F3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利用互联网、物联网等现代信息技术手段，建设“防、筛、诊、治、管、服”六维一体的慢病健康管理云平台</w:t>
            </w:r>
          </w:p>
        </w:tc>
      </w:tr>
      <w:tr w14:paraId="1B0F5C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5000" w:type="pct"/>
            <w:gridSpan w:val="3"/>
            <w:shd w:val="clear" w:color="auto" w:fill="auto"/>
            <w:noWrap/>
            <w:vAlign w:val="center"/>
          </w:tcPr>
          <w:p w14:paraId="14D9578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szCs w:val="32"/>
                <w:lang w:val="en-US" w:eastAsia="zh-CN"/>
              </w:rPr>
              <w:t>二、专病管理</w:t>
            </w:r>
          </w:p>
        </w:tc>
      </w:tr>
      <w:tr w14:paraId="1531E3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249" w:type="pct"/>
            <w:shd w:val="clear" w:color="auto" w:fill="auto"/>
            <w:noWrap/>
            <w:vAlign w:val="center"/>
          </w:tcPr>
          <w:p w14:paraId="69675B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058" w:type="pct"/>
            <w:shd w:val="clear" w:color="auto" w:fill="auto"/>
            <w:noWrap/>
            <w:vAlign w:val="center"/>
          </w:tcPr>
          <w:p w14:paraId="181861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技术（服务）名称</w:t>
            </w:r>
          </w:p>
        </w:tc>
        <w:tc>
          <w:tcPr>
            <w:tcW w:w="3691" w:type="pct"/>
            <w:shd w:val="clear" w:color="auto" w:fill="auto"/>
            <w:vAlign w:val="center"/>
          </w:tcPr>
          <w:p w14:paraId="75783C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技术（服务）内容</w:t>
            </w:r>
          </w:p>
        </w:tc>
      </w:tr>
      <w:tr w14:paraId="065058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249" w:type="pct"/>
            <w:shd w:val="clear" w:color="auto" w:fill="auto"/>
            <w:noWrap/>
            <w:vAlign w:val="center"/>
          </w:tcPr>
          <w:p w14:paraId="3067BD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2-1</w:t>
            </w:r>
          </w:p>
        </w:tc>
        <w:tc>
          <w:tcPr>
            <w:tcW w:w="1058" w:type="pct"/>
            <w:shd w:val="clear" w:color="auto" w:fill="auto"/>
            <w:noWrap/>
            <w:vAlign w:val="center"/>
          </w:tcPr>
          <w:p w14:paraId="718628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基于龋风险预测的低龄儿童（乳牙）龋病预防干预方案</w:t>
            </w:r>
          </w:p>
        </w:tc>
        <w:tc>
          <w:tcPr>
            <w:tcW w:w="3691" w:type="pct"/>
            <w:shd w:val="clear" w:color="auto" w:fill="auto"/>
            <w:vAlign w:val="center"/>
          </w:tcPr>
          <w:p w14:paraId="4E0892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包含预测模型和决策算法</w:t>
            </w:r>
            <w:r>
              <w:rPr>
                <w:rFonts w:hint="eastAsia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，利用</w:t>
            </w: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龋风险评估软件将龋病从群体和个体层面进行全生命周期管理</w:t>
            </w:r>
          </w:p>
        </w:tc>
      </w:tr>
      <w:tr w14:paraId="7A57CC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249" w:type="pct"/>
            <w:shd w:val="clear" w:color="auto" w:fill="auto"/>
            <w:noWrap/>
            <w:vAlign w:val="center"/>
          </w:tcPr>
          <w:p w14:paraId="2F9762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2-2</w:t>
            </w:r>
          </w:p>
        </w:tc>
        <w:tc>
          <w:tcPr>
            <w:tcW w:w="1058" w:type="pct"/>
            <w:shd w:val="clear" w:color="auto" w:fill="auto"/>
            <w:noWrap/>
            <w:vAlign w:val="center"/>
          </w:tcPr>
          <w:p w14:paraId="6EE577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AI口腔筛查仪（口腔观察仪）</w:t>
            </w:r>
          </w:p>
        </w:tc>
        <w:tc>
          <w:tcPr>
            <w:tcW w:w="3691" w:type="pct"/>
            <w:shd w:val="clear" w:color="auto" w:fill="auto"/>
            <w:vAlign w:val="center"/>
          </w:tcPr>
          <w:p w14:paraId="3D2A92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通过AI与医疗影像技术深度结合，1秒内实现口腔图像采集、AI疾病诊断，健康科普。即时打印图文报告，并</w:t>
            </w:r>
            <w:r>
              <w:rPr>
                <w:rFonts w:hint="eastAsia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给出保</w:t>
            </w: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健治疗建议</w:t>
            </w:r>
          </w:p>
        </w:tc>
      </w:tr>
      <w:tr w14:paraId="7836B7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249" w:type="pct"/>
            <w:shd w:val="clear" w:color="auto" w:fill="auto"/>
            <w:noWrap/>
            <w:vAlign w:val="center"/>
          </w:tcPr>
          <w:p w14:paraId="67294C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2-3</w:t>
            </w:r>
          </w:p>
        </w:tc>
        <w:tc>
          <w:tcPr>
            <w:tcW w:w="1058" w:type="pct"/>
            <w:shd w:val="clear" w:color="auto" w:fill="auto"/>
            <w:noWrap/>
            <w:vAlign w:val="center"/>
          </w:tcPr>
          <w:p w14:paraId="1D8E72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糖尿病标准化防控中心</w:t>
            </w:r>
          </w:p>
        </w:tc>
        <w:tc>
          <w:tcPr>
            <w:tcW w:w="3691" w:type="pct"/>
            <w:shd w:val="clear" w:color="auto" w:fill="auto"/>
            <w:vAlign w:val="center"/>
          </w:tcPr>
          <w:p w14:paraId="46E219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标准化诊疗路径</w:t>
            </w:r>
            <w:r>
              <w:rPr>
                <w:rFonts w:hint="eastAsia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、互联网/物联网/AI 支撑、区域大数据中心、持续培训与质控</w:t>
            </w:r>
          </w:p>
        </w:tc>
      </w:tr>
      <w:tr w14:paraId="752502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249" w:type="pct"/>
            <w:shd w:val="clear" w:color="auto" w:fill="auto"/>
            <w:noWrap/>
            <w:vAlign w:val="center"/>
          </w:tcPr>
          <w:p w14:paraId="0CE80E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2-4</w:t>
            </w:r>
          </w:p>
        </w:tc>
        <w:tc>
          <w:tcPr>
            <w:tcW w:w="1058" w:type="pct"/>
            <w:shd w:val="clear" w:color="auto" w:fill="auto"/>
            <w:noWrap/>
            <w:vAlign w:val="center"/>
          </w:tcPr>
          <w:p w14:paraId="2DA43D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全息睡眠健康管理中心建设方案</w:t>
            </w:r>
          </w:p>
        </w:tc>
        <w:tc>
          <w:tcPr>
            <w:tcW w:w="3691" w:type="pct"/>
            <w:shd w:val="clear" w:color="auto" w:fill="auto"/>
            <w:vAlign w:val="center"/>
          </w:tcPr>
          <w:p w14:paraId="1F9F0F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建设以心理治疗、药物治疗、物理治疗、中医外疗及家庭跟踪管理于一体的全息睡眠健康管理中心，打造全方位、个性化、科学化的睡眠健康管理平台</w:t>
            </w:r>
          </w:p>
        </w:tc>
      </w:tr>
      <w:tr w14:paraId="268A3E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5000" w:type="pct"/>
            <w:gridSpan w:val="3"/>
            <w:shd w:val="clear" w:color="auto" w:fill="auto"/>
            <w:noWrap/>
            <w:vAlign w:val="center"/>
          </w:tcPr>
          <w:p w14:paraId="323F444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szCs w:val="32"/>
                <w:lang w:val="en-US" w:eastAsia="zh-CN"/>
              </w:rPr>
              <w:t>三、数字诊疗与管理</w:t>
            </w:r>
          </w:p>
        </w:tc>
      </w:tr>
      <w:tr w14:paraId="3F5095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249" w:type="pct"/>
            <w:shd w:val="clear" w:color="auto" w:fill="auto"/>
            <w:noWrap/>
            <w:vAlign w:val="center"/>
          </w:tcPr>
          <w:p w14:paraId="421E4B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058" w:type="pct"/>
            <w:shd w:val="clear" w:color="auto" w:fill="auto"/>
            <w:noWrap/>
            <w:vAlign w:val="center"/>
          </w:tcPr>
          <w:p w14:paraId="7996B0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技术（服务）名称</w:t>
            </w:r>
          </w:p>
        </w:tc>
        <w:tc>
          <w:tcPr>
            <w:tcW w:w="3691" w:type="pct"/>
            <w:shd w:val="clear" w:color="auto" w:fill="auto"/>
            <w:vAlign w:val="center"/>
          </w:tcPr>
          <w:p w14:paraId="132AE2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技术（服务）内容</w:t>
            </w:r>
          </w:p>
        </w:tc>
      </w:tr>
      <w:tr w14:paraId="7FE1D3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249" w:type="pct"/>
            <w:shd w:val="clear" w:color="auto" w:fill="auto"/>
            <w:noWrap/>
            <w:vAlign w:val="center"/>
          </w:tcPr>
          <w:p w14:paraId="66E472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3-1</w:t>
            </w:r>
          </w:p>
        </w:tc>
        <w:tc>
          <w:tcPr>
            <w:tcW w:w="1058" w:type="pct"/>
            <w:shd w:val="clear" w:color="auto" w:fill="auto"/>
            <w:noWrap/>
            <w:vAlign w:val="center"/>
          </w:tcPr>
          <w:p w14:paraId="6E41FA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四川省全生命周期口腔健康管理平台</w:t>
            </w:r>
          </w:p>
        </w:tc>
        <w:tc>
          <w:tcPr>
            <w:tcW w:w="3691" w:type="pct"/>
            <w:shd w:val="clear" w:color="auto" w:fill="auto"/>
            <w:vAlign w:val="center"/>
          </w:tcPr>
          <w:p w14:paraId="3B3D78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支持国家体检，全国儿童口腔疾病干预，疾控口腔检查项目，口腔流调等各类口腔项目</w:t>
            </w:r>
            <w:r>
              <w:rPr>
                <w:rFonts w:hint="eastAsia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同时满足各地区体检口腔数据及城市智慧大脑接入</w:t>
            </w:r>
            <w:r>
              <w:rPr>
                <w:rFonts w:hint="eastAsia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，实现一人一档、一人一科普、一人一干预、一人一唤醒</w:t>
            </w:r>
          </w:p>
        </w:tc>
      </w:tr>
      <w:tr w14:paraId="29D401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249" w:type="pct"/>
            <w:shd w:val="clear" w:color="auto" w:fill="auto"/>
            <w:noWrap/>
            <w:vAlign w:val="center"/>
          </w:tcPr>
          <w:p w14:paraId="502583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3-2</w:t>
            </w:r>
          </w:p>
        </w:tc>
        <w:tc>
          <w:tcPr>
            <w:tcW w:w="1058" w:type="pct"/>
            <w:shd w:val="clear" w:color="auto" w:fill="auto"/>
            <w:noWrap/>
            <w:vAlign w:val="center"/>
          </w:tcPr>
          <w:p w14:paraId="519FD5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AI卫教数智健康服务管理系统</w:t>
            </w:r>
          </w:p>
        </w:tc>
        <w:tc>
          <w:tcPr>
            <w:tcW w:w="3691" w:type="pct"/>
            <w:shd w:val="clear" w:color="auto" w:fill="auto"/>
            <w:vAlign w:val="center"/>
          </w:tcPr>
          <w:p w14:paraId="1708BE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涵盖儿童青少年视力、口腔、心理、肥胖、脊柱侧弯等健康状况智能筛查、健康问题干预、干预效果跟踪评价、健康科普教育等全流程服务</w:t>
            </w:r>
          </w:p>
        </w:tc>
      </w:tr>
      <w:tr w14:paraId="0232E8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249" w:type="pct"/>
            <w:shd w:val="clear" w:color="auto" w:fill="auto"/>
            <w:noWrap/>
            <w:vAlign w:val="center"/>
          </w:tcPr>
          <w:p w14:paraId="776A7F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3-3</w:t>
            </w:r>
          </w:p>
        </w:tc>
        <w:tc>
          <w:tcPr>
            <w:tcW w:w="1058" w:type="pct"/>
            <w:shd w:val="clear" w:color="auto" w:fill="auto"/>
            <w:noWrap/>
            <w:vAlign w:val="center"/>
          </w:tcPr>
          <w:p w14:paraId="126B52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数智化呼吸慢病随访管理系统</w:t>
            </w:r>
          </w:p>
        </w:tc>
        <w:tc>
          <w:tcPr>
            <w:tcW w:w="3691" w:type="pct"/>
            <w:shd w:val="clear" w:color="auto" w:fill="auto"/>
            <w:vAlign w:val="center"/>
          </w:tcPr>
          <w:p w14:paraId="6ADE38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集成互联网平台、智能可穿戴设备、大数据分析、人工智能等技术的智能医疗管理平台</w:t>
            </w:r>
          </w:p>
        </w:tc>
      </w:tr>
      <w:tr w14:paraId="0AA7B1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249" w:type="pct"/>
            <w:shd w:val="clear" w:color="auto" w:fill="auto"/>
            <w:noWrap/>
            <w:vAlign w:val="center"/>
          </w:tcPr>
          <w:p w14:paraId="110DD6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3-4</w:t>
            </w:r>
          </w:p>
        </w:tc>
        <w:tc>
          <w:tcPr>
            <w:tcW w:w="1058" w:type="pct"/>
            <w:shd w:val="clear" w:color="auto" w:fill="auto"/>
            <w:noWrap/>
            <w:vAlign w:val="center"/>
          </w:tcPr>
          <w:p w14:paraId="05CAFE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数字化慢病管理系统</w:t>
            </w:r>
          </w:p>
        </w:tc>
        <w:tc>
          <w:tcPr>
            <w:tcW w:w="3691" w:type="pct"/>
            <w:shd w:val="clear" w:color="auto" w:fill="auto"/>
            <w:vAlign w:val="center"/>
          </w:tcPr>
          <w:p w14:paraId="062107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专为肥胖及代谢性疾病研发的医学智能化、AI 数据驱动的健康管理平台，整合人工智能（AI）、物联网（IoT）、大数据分析等技术，为超重、肥胖及代谢性疾病患者提供个性化、精准化的健康管理方案</w:t>
            </w:r>
          </w:p>
        </w:tc>
      </w:tr>
      <w:tr w14:paraId="398890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249" w:type="pct"/>
            <w:shd w:val="clear" w:color="auto" w:fill="auto"/>
            <w:noWrap/>
            <w:vAlign w:val="center"/>
          </w:tcPr>
          <w:p w14:paraId="645B9D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3-5</w:t>
            </w:r>
          </w:p>
        </w:tc>
        <w:tc>
          <w:tcPr>
            <w:tcW w:w="1058" w:type="pct"/>
            <w:shd w:val="clear" w:color="auto" w:fill="auto"/>
            <w:noWrap/>
            <w:vAlign w:val="center"/>
          </w:tcPr>
          <w:p w14:paraId="48F803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全自动颈动脉斑块筛查机器人在脑卒中医防实践中的筛查干预技术</w:t>
            </w:r>
          </w:p>
        </w:tc>
        <w:tc>
          <w:tcPr>
            <w:tcW w:w="3691" w:type="pct"/>
            <w:shd w:val="clear" w:color="auto" w:fill="auto"/>
            <w:vAlign w:val="center"/>
          </w:tcPr>
          <w:p w14:paraId="6F025D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通过“人工智能+超声”相结合</w:t>
            </w:r>
            <w:r>
              <w:rPr>
                <w:rFonts w:hint="eastAsia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，判断颈动脉斑块、狭窄、闭塞等病变，实现全自动无人化筛查</w:t>
            </w:r>
          </w:p>
        </w:tc>
      </w:tr>
      <w:tr w14:paraId="1CAE42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249" w:type="pct"/>
            <w:shd w:val="clear" w:color="auto" w:fill="auto"/>
            <w:noWrap/>
            <w:vAlign w:val="center"/>
          </w:tcPr>
          <w:p w14:paraId="012572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3-6</w:t>
            </w:r>
          </w:p>
        </w:tc>
        <w:tc>
          <w:tcPr>
            <w:tcW w:w="1058" w:type="pct"/>
            <w:shd w:val="clear" w:color="auto" w:fill="auto"/>
            <w:noWrap/>
            <w:vAlign w:val="center"/>
          </w:tcPr>
          <w:p w14:paraId="222C4B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多模态AI慢病运动诊疗一体化推广方案</w:t>
            </w:r>
          </w:p>
        </w:tc>
        <w:tc>
          <w:tcPr>
            <w:tcW w:w="3691" w:type="pct"/>
            <w:shd w:val="clear" w:color="auto" w:fill="auto"/>
            <w:vAlign w:val="center"/>
          </w:tcPr>
          <w:p w14:paraId="5B59EF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无缝集成了智能硬件、数字疗法软件与云端AI算法的一体化慢病管理生态系统</w:t>
            </w:r>
            <w:r>
              <w:rPr>
                <w:rFonts w:hint="eastAsia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，包含多模态AI融合与精准预测、运动干预的精准量化、数据驱动的闭环与实时反馈、标准化与开放性生态等</w:t>
            </w:r>
          </w:p>
        </w:tc>
      </w:tr>
      <w:tr w14:paraId="2B7F97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5000" w:type="pct"/>
            <w:gridSpan w:val="3"/>
            <w:shd w:val="clear" w:color="auto" w:fill="auto"/>
            <w:noWrap/>
            <w:vAlign w:val="center"/>
          </w:tcPr>
          <w:p w14:paraId="43DF39B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szCs w:val="32"/>
                <w:lang w:val="en-US" w:eastAsia="zh-CN"/>
              </w:rPr>
              <w:t>四、膳食与运动干预</w:t>
            </w:r>
          </w:p>
        </w:tc>
      </w:tr>
      <w:tr w14:paraId="6F04FA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249" w:type="pct"/>
            <w:shd w:val="clear" w:color="auto" w:fill="auto"/>
            <w:noWrap/>
            <w:vAlign w:val="center"/>
          </w:tcPr>
          <w:p w14:paraId="71C82F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058" w:type="pct"/>
            <w:shd w:val="clear" w:color="auto" w:fill="auto"/>
            <w:noWrap/>
            <w:vAlign w:val="center"/>
          </w:tcPr>
          <w:p w14:paraId="024EE2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技术（服务）名称</w:t>
            </w:r>
          </w:p>
        </w:tc>
        <w:tc>
          <w:tcPr>
            <w:tcW w:w="3691" w:type="pct"/>
            <w:shd w:val="clear" w:color="auto" w:fill="auto"/>
            <w:vAlign w:val="center"/>
          </w:tcPr>
          <w:p w14:paraId="5232D2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技术（服务）内容</w:t>
            </w:r>
          </w:p>
        </w:tc>
      </w:tr>
      <w:tr w14:paraId="7BD2FC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249" w:type="pct"/>
            <w:shd w:val="clear" w:color="auto" w:fill="auto"/>
            <w:noWrap/>
            <w:vAlign w:val="center"/>
          </w:tcPr>
          <w:p w14:paraId="1D6A1D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4-1</w:t>
            </w:r>
          </w:p>
        </w:tc>
        <w:tc>
          <w:tcPr>
            <w:tcW w:w="1058" w:type="pct"/>
            <w:shd w:val="clear" w:color="auto" w:fill="auto"/>
            <w:noWrap/>
            <w:vAlign w:val="center"/>
          </w:tcPr>
          <w:p w14:paraId="410CE6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基于药食同源物质治疗膳食的高血脂营养干预</w:t>
            </w:r>
          </w:p>
        </w:tc>
        <w:tc>
          <w:tcPr>
            <w:tcW w:w="3691" w:type="pct"/>
            <w:shd w:val="clear" w:color="auto" w:fill="auto"/>
            <w:vAlign w:val="center"/>
          </w:tcPr>
          <w:p w14:paraId="12F160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以四川道地药材为核心，采用药食同源物质联合应用，益气养血药食同源调理膳食</w:t>
            </w:r>
          </w:p>
        </w:tc>
      </w:tr>
      <w:tr w14:paraId="07BA87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249" w:type="pct"/>
            <w:shd w:val="clear" w:color="auto" w:fill="auto"/>
            <w:noWrap/>
            <w:vAlign w:val="center"/>
          </w:tcPr>
          <w:p w14:paraId="1DA65C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4-2</w:t>
            </w:r>
          </w:p>
        </w:tc>
        <w:tc>
          <w:tcPr>
            <w:tcW w:w="1058" w:type="pct"/>
            <w:shd w:val="clear" w:color="auto" w:fill="auto"/>
            <w:noWrap/>
            <w:vAlign w:val="center"/>
          </w:tcPr>
          <w:p w14:paraId="3778CA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基于药食同源物质治疗膳食的高血压营养干预</w:t>
            </w:r>
          </w:p>
        </w:tc>
        <w:tc>
          <w:tcPr>
            <w:tcW w:w="3691" w:type="pct"/>
            <w:shd w:val="clear" w:color="auto" w:fill="auto"/>
            <w:vAlign w:val="center"/>
          </w:tcPr>
          <w:p w14:paraId="64E697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以四川道地药材为核心，采用药食同源物质联合应用，益气养血药食同源调理膳食</w:t>
            </w:r>
          </w:p>
        </w:tc>
      </w:tr>
      <w:tr w14:paraId="17A456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249" w:type="pct"/>
            <w:shd w:val="clear" w:color="auto" w:fill="auto"/>
            <w:noWrap/>
            <w:vAlign w:val="center"/>
          </w:tcPr>
          <w:p w14:paraId="705E3A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4-3</w:t>
            </w:r>
          </w:p>
        </w:tc>
        <w:tc>
          <w:tcPr>
            <w:tcW w:w="1058" w:type="pct"/>
            <w:shd w:val="clear" w:color="auto" w:fill="auto"/>
            <w:noWrap/>
            <w:vAlign w:val="center"/>
          </w:tcPr>
          <w:p w14:paraId="33F51D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基于药食同源物质治疗膳食的癌症患者营养干预 </w:t>
            </w:r>
          </w:p>
        </w:tc>
        <w:tc>
          <w:tcPr>
            <w:tcW w:w="3691" w:type="pct"/>
            <w:shd w:val="clear" w:color="auto" w:fill="auto"/>
            <w:vAlign w:val="center"/>
          </w:tcPr>
          <w:p w14:paraId="10E929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以四川道地药材为核心，采用药食同源物质联合应用，益气养血药食同源调理膳食</w:t>
            </w:r>
          </w:p>
        </w:tc>
      </w:tr>
      <w:tr w14:paraId="5BD966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249" w:type="pct"/>
            <w:shd w:val="clear" w:color="auto" w:fill="auto"/>
            <w:noWrap/>
            <w:vAlign w:val="center"/>
          </w:tcPr>
          <w:p w14:paraId="4CFE9A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4-4</w:t>
            </w:r>
          </w:p>
        </w:tc>
        <w:tc>
          <w:tcPr>
            <w:tcW w:w="1058" w:type="pct"/>
            <w:shd w:val="clear" w:color="auto" w:fill="auto"/>
            <w:noWrap/>
            <w:vAlign w:val="center"/>
          </w:tcPr>
          <w:p w14:paraId="04E6F6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社区重点慢性病及风险人群运动处方干预方案推广应用实践及评价</w:t>
            </w:r>
          </w:p>
        </w:tc>
        <w:tc>
          <w:tcPr>
            <w:tcW w:w="3691" w:type="pct"/>
            <w:shd w:val="clear" w:color="auto" w:fill="auto"/>
            <w:vAlign w:val="center"/>
          </w:tcPr>
          <w:p w14:paraId="65A4AE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在慢性病及风险人群（包括慢性阻塞性肺疾病人群、三高患者（高血压、糖尿病和高血脂）和肥胖人群、肌少症人群和轻中度骨质疏松人群）中进行运动处方干预</w:t>
            </w:r>
          </w:p>
        </w:tc>
      </w:tr>
      <w:tr w14:paraId="6F9971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249" w:type="pct"/>
            <w:shd w:val="clear" w:color="auto" w:fill="auto"/>
            <w:noWrap/>
            <w:vAlign w:val="center"/>
          </w:tcPr>
          <w:p w14:paraId="56C52D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4-5</w:t>
            </w:r>
          </w:p>
        </w:tc>
        <w:tc>
          <w:tcPr>
            <w:tcW w:w="1058" w:type="pct"/>
            <w:shd w:val="clear" w:color="auto" w:fill="auto"/>
            <w:noWrap/>
            <w:vAlign w:val="center"/>
          </w:tcPr>
          <w:p w14:paraId="2FDBA3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数字化6分钟步行测试与运动监测软件</w:t>
            </w:r>
          </w:p>
        </w:tc>
        <w:tc>
          <w:tcPr>
            <w:tcW w:w="3691" w:type="pct"/>
            <w:shd w:val="clear" w:color="auto" w:fill="auto"/>
            <w:vAlign w:val="center"/>
          </w:tcPr>
          <w:p w14:paraId="10DE28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开展6分钟步行测试、心肺运动监测，依托医疗级、轻量化、可穿戴动态监测设备，实时无线监测丰富的多参数生理指标数据</w:t>
            </w:r>
          </w:p>
        </w:tc>
      </w:tr>
      <w:tr w14:paraId="667467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249" w:type="pct"/>
            <w:shd w:val="clear" w:color="auto" w:fill="auto"/>
            <w:noWrap/>
            <w:vAlign w:val="center"/>
          </w:tcPr>
          <w:p w14:paraId="5F609D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4-6</w:t>
            </w:r>
          </w:p>
        </w:tc>
        <w:tc>
          <w:tcPr>
            <w:tcW w:w="1058" w:type="pct"/>
            <w:shd w:val="clear" w:color="auto" w:fill="auto"/>
            <w:noWrap/>
            <w:vAlign w:val="center"/>
          </w:tcPr>
          <w:p w14:paraId="561BB8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运动功能定量评价系统</w:t>
            </w:r>
          </w:p>
        </w:tc>
        <w:tc>
          <w:tcPr>
            <w:tcW w:w="3691" w:type="pct"/>
            <w:shd w:val="clear" w:color="auto" w:fill="auto"/>
            <w:vAlign w:val="center"/>
          </w:tcPr>
          <w:p w14:paraId="6DC6C1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衡测试系统（运动功能定量测评、经典量表数字化测评、认知功能评估与运动功能特征评估等）、眼动分析系统（眼动数据采集与分析、疾病早期识别与监测、认知功能评估、精神心理评估）、数字化认知功能测试与训练系统等</w:t>
            </w:r>
          </w:p>
        </w:tc>
      </w:tr>
      <w:tr w14:paraId="77D886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5000" w:type="pct"/>
            <w:gridSpan w:val="3"/>
            <w:shd w:val="clear" w:color="auto" w:fill="auto"/>
            <w:noWrap/>
            <w:vAlign w:val="center"/>
          </w:tcPr>
          <w:p w14:paraId="5CE5796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szCs w:val="32"/>
                <w:lang w:val="en-US" w:eastAsia="zh-CN"/>
              </w:rPr>
              <w:t>五、健康教育</w:t>
            </w:r>
          </w:p>
        </w:tc>
      </w:tr>
      <w:tr w14:paraId="6073C1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249" w:type="pct"/>
            <w:shd w:val="clear" w:color="auto" w:fill="auto"/>
            <w:noWrap/>
            <w:vAlign w:val="center"/>
          </w:tcPr>
          <w:p w14:paraId="6DBD0C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058" w:type="pct"/>
            <w:shd w:val="clear" w:color="auto" w:fill="auto"/>
            <w:noWrap/>
            <w:vAlign w:val="center"/>
          </w:tcPr>
          <w:p w14:paraId="5A0DD6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技术（服务）名称</w:t>
            </w:r>
          </w:p>
        </w:tc>
        <w:tc>
          <w:tcPr>
            <w:tcW w:w="3691" w:type="pct"/>
            <w:shd w:val="clear" w:color="auto" w:fill="auto"/>
            <w:vAlign w:val="center"/>
          </w:tcPr>
          <w:p w14:paraId="7D1F07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技术（服务）内容</w:t>
            </w:r>
          </w:p>
        </w:tc>
      </w:tr>
      <w:tr w14:paraId="4CC7C8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249" w:type="pct"/>
            <w:shd w:val="clear" w:color="auto" w:fill="auto"/>
            <w:noWrap/>
            <w:vAlign w:val="center"/>
          </w:tcPr>
          <w:p w14:paraId="5B356C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5-1</w:t>
            </w:r>
          </w:p>
        </w:tc>
        <w:tc>
          <w:tcPr>
            <w:tcW w:w="1058" w:type="pct"/>
            <w:shd w:val="clear" w:color="auto" w:fill="auto"/>
            <w:noWrap/>
            <w:vAlign w:val="center"/>
          </w:tcPr>
          <w:p w14:paraId="5279A2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社区慢性肾病患者营养知识图谱构建及个性化干预服务</w:t>
            </w:r>
          </w:p>
        </w:tc>
        <w:tc>
          <w:tcPr>
            <w:tcW w:w="3691" w:type="pct"/>
            <w:shd w:val="clear" w:color="auto" w:fill="auto"/>
            <w:vAlign w:val="center"/>
          </w:tcPr>
          <w:p w14:paraId="643607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服务以 “图谱 + 配套技术包” 形式整体输出</w:t>
            </w:r>
            <w:r>
              <w:rPr>
                <w:rFonts w:hint="eastAsia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，为CKD患者推荐膳食模式；借助知识图谱技术，实现PLADO饮食的精准化和个性化应用</w:t>
            </w:r>
          </w:p>
        </w:tc>
      </w:tr>
      <w:tr w14:paraId="6F3F81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249" w:type="pct"/>
            <w:shd w:val="clear" w:color="auto" w:fill="auto"/>
            <w:noWrap/>
            <w:vAlign w:val="center"/>
          </w:tcPr>
          <w:p w14:paraId="3BB65C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5-2</w:t>
            </w:r>
          </w:p>
        </w:tc>
        <w:tc>
          <w:tcPr>
            <w:tcW w:w="1058" w:type="pct"/>
            <w:shd w:val="clear" w:color="auto" w:fill="auto"/>
            <w:noWrap/>
            <w:vAlign w:val="center"/>
          </w:tcPr>
          <w:p w14:paraId="2663C2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全糖书智能教育管理系统</w:t>
            </w:r>
          </w:p>
        </w:tc>
        <w:tc>
          <w:tcPr>
            <w:tcW w:w="3691" w:type="pct"/>
            <w:shd w:val="clear" w:color="auto" w:fill="auto"/>
            <w:vAlign w:val="center"/>
          </w:tcPr>
          <w:p w14:paraId="3C5E18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涵盖糖尿病饮食指导、运动技巧、血糖监测、用药原则、自我管理、心理支持等教育内容，教育形式包括文</w:t>
            </w:r>
          </w:p>
          <w:p w14:paraId="77AEED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字、图片、音视频、小程序互动以及AI问答</w:t>
            </w:r>
            <w:r>
              <w:rPr>
                <w:rFonts w:hint="eastAsia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等</w:t>
            </w:r>
          </w:p>
        </w:tc>
      </w:tr>
      <w:tr w14:paraId="4FCDFF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249" w:type="pct"/>
            <w:shd w:val="clear" w:color="auto" w:fill="auto"/>
            <w:noWrap/>
            <w:vAlign w:val="center"/>
          </w:tcPr>
          <w:p w14:paraId="0172D9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5-3</w:t>
            </w:r>
          </w:p>
        </w:tc>
        <w:tc>
          <w:tcPr>
            <w:tcW w:w="1058" w:type="pct"/>
            <w:shd w:val="clear" w:color="auto" w:fill="auto"/>
            <w:noWrap/>
            <w:vAlign w:val="center"/>
          </w:tcPr>
          <w:p w14:paraId="1A0CA9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慢性病三维解剖学可视化系统</w:t>
            </w:r>
          </w:p>
        </w:tc>
        <w:tc>
          <w:tcPr>
            <w:tcW w:w="3691" w:type="pct"/>
            <w:shd w:val="clear" w:color="auto" w:fill="auto"/>
            <w:vAlign w:val="center"/>
          </w:tcPr>
          <w:p w14:paraId="779998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人体解剖软件的三维可视化与交互式探索</w:t>
            </w:r>
            <w:r>
              <w:rPr>
                <w:rFonts w:hint="eastAsia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（包含触摸慢性病三维解剖学可视化软件一体机、三维可触摸模型、科普演示）</w:t>
            </w:r>
          </w:p>
        </w:tc>
      </w:tr>
      <w:tr w14:paraId="2BA707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5000" w:type="pct"/>
            <w:gridSpan w:val="3"/>
            <w:shd w:val="clear" w:color="auto" w:fill="auto"/>
            <w:noWrap/>
            <w:vAlign w:val="center"/>
          </w:tcPr>
          <w:p w14:paraId="357A50D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szCs w:val="32"/>
                <w:lang w:val="en-US" w:eastAsia="zh-CN"/>
              </w:rPr>
              <w:t>六、民族医药干预与康复</w:t>
            </w:r>
          </w:p>
        </w:tc>
      </w:tr>
      <w:tr w14:paraId="5F4DDE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249" w:type="pct"/>
            <w:shd w:val="clear" w:color="auto" w:fill="auto"/>
            <w:noWrap/>
            <w:vAlign w:val="center"/>
          </w:tcPr>
          <w:p w14:paraId="6440C7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058" w:type="pct"/>
            <w:shd w:val="clear" w:color="auto" w:fill="auto"/>
            <w:noWrap/>
            <w:vAlign w:val="center"/>
          </w:tcPr>
          <w:p w14:paraId="510B9F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技术（服务）名称</w:t>
            </w:r>
          </w:p>
        </w:tc>
        <w:tc>
          <w:tcPr>
            <w:tcW w:w="3691" w:type="pct"/>
            <w:shd w:val="clear" w:color="auto" w:fill="auto"/>
            <w:vAlign w:val="center"/>
          </w:tcPr>
          <w:p w14:paraId="76D5C3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技术（服务）内容</w:t>
            </w:r>
          </w:p>
        </w:tc>
      </w:tr>
      <w:tr w14:paraId="2032E4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249" w:type="pct"/>
            <w:shd w:val="clear" w:color="auto" w:fill="auto"/>
            <w:noWrap/>
            <w:vAlign w:val="center"/>
          </w:tcPr>
          <w:p w14:paraId="227439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6-1</w:t>
            </w:r>
          </w:p>
        </w:tc>
        <w:tc>
          <w:tcPr>
            <w:tcW w:w="1058" w:type="pct"/>
            <w:shd w:val="clear" w:color="auto" w:fill="auto"/>
            <w:noWrap/>
            <w:vAlign w:val="center"/>
          </w:tcPr>
          <w:p w14:paraId="78C3CB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穴位埋线治疗高血压</w:t>
            </w:r>
          </w:p>
        </w:tc>
        <w:tc>
          <w:tcPr>
            <w:tcW w:w="3691" w:type="pct"/>
            <w:shd w:val="clear" w:color="auto" w:fill="auto"/>
            <w:vAlign w:val="center"/>
          </w:tcPr>
          <w:p w14:paraId="40B9F5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针对不同分型高血压患者进行个性化选穴</w:t>
            </w:r>
            <w:r>
              <w:rPr>
                <w:rFonts w:hint="eastAsia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开展安全无菌的穴位埋线操作</w:t>
            </w:r>
            <w:r>
              <w:rPr>
                <w:rFonts w:hint="eastAsia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提供术后指导与健康宣教服务。</w:t>
            </w:r>
          </w:p>
        </w:tc>
      </w:tr>
      <w:tr w14:paraId="21B93D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5000" w:type="pct"/>
            <w:gridSpan w:val="3"/>
            <w:shd w:val="clear" w:color="auto" w:fill="auto"/>
            <w:noWrap/>
            <w:vAlign w:val="center"/>
          </w:tcPr>
          <w:p w14:paraId="3A354A2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szCs w:val="32"/>
                <w:lang w:val="en-US" w:eastAsia="zh-CN"/>
              </w:rPr>
              <w:t>七、健康生活方式服务</w:t>
            </w:r>
          </w:p>
        </w:tc>
      </w:tr>
      <w:tr w14:paraId="68BF41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249" w:type="pct"/>
            <w:shd w:val="clear" w:color="auto" w:fill="auto"/>
            <w:noWrap/>
            <w:vAlign w:val="center"/>
          </w:tcPr>
          <w:p w14:paraId="4C2555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058" w:type="pct"/>
            <w:shd w:val="clear" w:color="auto" w:fill="auto"/>
            <w:noWrap/>
            <w:vAlign w:val="center"/>
          </w:tcPr>
          <w:p w14:paraId="4A5A18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技术（服务）名称</w:t>
            </w:r>
          </w:p>
        </w:tc>
        <w:tc>
          <w:tcPr>
            <w:tcW w:w="3691" w:type="pct"/>
            <w:shd w:val="clear" w:color="auto" w:fill="auto"/>
            <w:vAlign w:val="center"/>
          </w:tcPr>
          <w:p w14:paraId="5272FD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技术（服务）内容</w:t>
            </w:r>
          </w:p>
        </w:tc>
      </w:tr>
      <w:tr w14:paraId="05B6E2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249" w:type="pct"/>
            <w:shd w:val="clear" w:color="auto" w:fill="auto"/>
            <w:noWrap/>
            <w:vAlign w:val="center"/>
          </w:tcPr>
          <w:p w14:paraId="4D0E28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7-1</w:t>
            </w:r>
          </w:p>
        </w:tc>
        <w:tc>
          <w:tcPr>
            <w:tcW w:w="1058" w:type="pct"/>
            <w:shd w:val="clear" w:color="auto" w:fill="auto"/>
            <w:noWrap/>
            <w:vAlign w:val="center"/>
          </w:tcPr>
          <w:p w14:paraId="35F147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慢病运动健康管理的应用</w:t>
            </w:r>
          </w:p>
        </w:tc>
        <w:tc>
          <w:tcPr>
            <w:tcW w:w="3691" w:type="pct"/>
            <w:shd w:val="clear" w:color="auto" w:fill="auto"/>
            <w:vAlign w:val="center"/>
          </w:tcPr>
          <w:p w14:paraId="6888EC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实时、连续监测个人健康状态、疾病情况和运动干预情况及效果，形成运动促进健康群体数据，自动生成连续性健康档案，支持药物、饮食、运动“三处方”联动干预</w:t>
            </w:r>
          </w:p>
        </w:tc>
      </w:tr>
      <w:tr w14:paraId="259D7D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249" w:type="pct"/>
            <w:shd w:val="clear" w:color="auto" w:fill="auto"/>
            <w:noWrap/>
            <w:vAlign w:val="center"/>
          </w:tcPr>
          <w:p w14:paraId="1B747B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eastAsia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7-2</w:t>
            </w:r>
          </w:p>
        </w:tc>
        <w:tc>
          <w:tcPr>
            <w:tcW w:w="1058" w:type="pct"/>
            <w:shd w:val="clear" w:color="auto" w:fill="auto"/>
            <w:noWrap/>
            <w:vAlign w:val="center"/>
          </w:tcPr>
          <w:p w14:paraId="751F2C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基于智能戒指的慢性病连续监测与主动健康管理服务</w:t>
            </w:r>
          </w:p>
        </w:tc>
        <w:tc>
          <w:tcPr>
            <w:tcW w:w="3691" w:type="pct"/>
            <w:shd w:val="clear" w:color="auto" w:fill="auto"/>
            <w:vAlign w:val="center"/>
          </w:tcPr>
          <w:p w14:paraId="5D3588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开展</w:t>
            </w: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慢性病连续监测与主动健康管理服务</w:t>
            </w:r>
            <w:r>
              <w:rPr>
                <w:rFonts w:hint="eastAsia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，连续监测生理数据（心率、血氧、HRV、体温、活动、睡眠、压力等）</w:t>
            </w:r>
          </w:p>
        </w:tc>
      </w:tr>
      <w:tr w14:paraId="58EBA7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5000" w:type="pct"/>
            <w:gridSpan w:val="3"/>
            <w:shd w:val="clear" w:color="auto" w:fill="auto"/>
            <w:noWrap/>
            <w:vAlign w:val="center"/>
          </w:tcPr>
          <w:p w14:paraId="5D3C760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firstLine="0" w:firstLineChars="0"/>
              <w:jc w:val="center"/>
              <w:textAlignment w:val="auto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szCs w:val="32"/>
                <w:lang w:val="en-US" w:eastAsia="zh-CN"/>
              </w:rPr>
              <w:t>八、其他</w:t>
            </w:r>
          </w:p>
        </w:tc>
      </w:tr>
      <w:tr w14:paraId="628C13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249" w:type="pct"/>
            <w:shd w:val="clear" w:color="auto" w:fill="auto"/>
            <w:noWrap/>
            <w:vAlign w:val="center"/>
          </w:tcPr>
          <w:p w14:paraId="57687E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058" w:type="pct"/>
            <w:shd w:val="clear" w:color="auto" w:fill="auto"/>
            <w:noWrap/>
            <w:vAlign w:val="center"/>
          </w:tcPr>
          <w:p w14:paraId="3914BE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技术（服务）名称</w:t>
            </w:r>
          </w:p>
        </w:tc>
        <w:tc>
          <w:tcPr>
            <w:tcW w:w="3691" w:type="pct"/>
            <w:shd w:val="clear" w:color="auto" w:fill="auto"/>
            <w:vAlign w:val="center"/>
          </w:tcPr>
          <w:p w14:paraId="376385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技术（服务）内容</w:t>
            </w:r>
          </w:p>
        </w:tc>
      </w:tr>
      <w:tr w14:paraId="651734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249" w:type="pct"/>
            <w:shd w:val="clear" w:color="auto" w:fill="auto"/>
            <w:noWrap/>
            <w:vAlign w:val="center"/>
          </w:tcPr>
          <w:p w14:paraId="7ED8CD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8-1</w:t>
            </w:r>
          </w:p>
        </w:tc>
        <w:tc>
          <w:tcPr>
            <w:tcW w:w="1058" w:type="pct"/>
            <w:shd w:val="clear" w:color="auto" w:fill="auto"/>
            <w:noWrap/>
            <w:vAlign w:val="center"/>
          </w:tcPr>
          <w:p w14:paraId="673A07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大便隐血（FOB）智慧检测盒</w:t>
            </w:r>
          </w:p>
        </w:tc>
        <w:tc>
          <w:tcPr>
            <w:tcW w:w="3691" w:type="pct"/>
            <w:shd w:val="clear" w:color="auto" w:fill="auto"/>
            <w:vAlign w:val="center"/>
          </w:tcPr>
          <w:p w14:paraId="03FF54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定性检测人体粪便样本中的血红蛋白，以辅助诊断消化道是否有出血。本产品既适用于非专业人员自行检测，也可以由专业人员在医疗单位进行便隐血检测</w:t>
            </w:r>
          </w:p>
        </w:tc>
      </w:tr>
    </w:tbl>
    <w:p w14:paraId="19BE9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firstLine="0" w:firstLineChars="0"/>
        <w:jc w:val="center"/>
        <w:textAlignment w:val="auto"/>
        <w:rPr>
          <w:rFonts w:hint="default" w:ascii="Times New Roman" w:hAnsi="Times New Roman" w:eastAsia="方正仿宋_GB2312" w:cs="Times New Roman"/>
          <w:b/>
          <w:bCs/>
          <w:snapToGrid w:val="0"/>
          <w:color w:val="000000"/>
          <w:spacing w:val="-7"/>
          <w:kern w:val="0"/>
          <w:sz w:val="36"/>
          <w:szCs w:val="36"/>
          <w:lang w:val="en-US" w:eastAsia="zh-CN" w:bidi="ar-SA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EAF295">
    <w:pPr>
      <w:pStyle w:val="2"/>
      <w:jc w:val="right"/>
    </w:pPr>
    <w:r>
      <w:rPr>
        <w:rFonts w:ascii="宋体" w:hAnsi="宋体" w:eastAsia="宋体"/>
        <w:sz w:val="28"/>
      </w:rPr>
      <w:t>—</w:t>
    </w:r>
    <w:r>
      <w:rPr>
        <w:rFonts w:ascii="宋体" w:hAnsi="宋体" w:eastAsia="宋体"/>
        <w:sz w:val="24"/>
      </w:rPr>
      <w:t>　</w:t>
    </w:r>
    <w:r>
      <w:rPr>
        <w:rFonts w:ascii="宋体" w:hAnsi="宋体" w:eastAsia="宋体"/>
        <w:sz w:val="28"/>
      </w:rPr>
      <w:fldChar w:fldCharType="begin"/>
    </w:r>
    <w:r>
      <w:rPr>
        <w:rFonts w:ascii="宋体" w:hAnsi="宋体" w:eastAsia="宋体"/>
        <w:sz w:val="28"/>
      </w:rPr>
      <w:instrText xml:space="preserve"> PAGE  \* MERGEFORMAT </w:instrText>
    </w:r>
    <w:r>
      <w:rPr>
        <w:rFonts w:ascii="宋体" w:hAnsi="宋体" w:eastAsia="宋体"/>
        <w:sz w:val="28"/>
      </w:rPr>
      <w:fldChar w:fldCharType="separate"/>
    </w:r>
    <w:r>
      <w:rPr>
        <w:rFonts w:ascii="宋体" w:hAnsi="宋体" w:eastAsia="宋体"/>
        <w:sz w:val="28"/>
      </w:rPr>
      <w:t>7</w:t>
    </w:r>
    <w:r>
      <w:rPr>
        <w:rFonts w:ascii="宋体" w:hAnsi="宋体" w:eastAsia="宋体"/>
        <w:sz w:val="28"/>
      </w:rPr>
      <w:fldChar w:fldCharType="end"/>
    </w:r>
    <w:r>
      <w:rPr>
        <w:rFonts w:ascii="宋体" w:hAnsi="宋体" w:eastAsia="宋体"/>
        <w:sz w:val="24"/>
      </w:rPr>
      <w:t>　</w:t>
    </w:r>
    <w:r>
      <w:rPr>
        <w:rFonts w:ascii="宋体" w:hAnsi="宋体" w:eastAsia="宋体"/>
        <w:sz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8060DD"/>
    <w:rsid w:val="37BE1267"/>
    <w:rsid w:val="5B806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宋体"/>
      <w:kern w:val="0"/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宋体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2615</Words>
  <Characters>2710</Characters>
  <Lines>0</Lines>
  <Paragraphs>0</Paragraphs>
  <TotalTime>0</TotalTime>
  <ScaleCrop>false</ScaleCrop>
  <LinksUpToDate>false</LinksUpToDate>
  <CharactersWithSpaces>2721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2025-11-10T02:49:00Z</dcterms:created>
  <dc:creator>木</dc:creator>
  <cp:lastModifiedBy>Johnson</cp:lastModifiedBy>
  <dcterms:modified xsi:type="dcterms:W3CDTF">2025-11-14T09:23:54Z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2AC1F17DBDA44992A6FAEE5F4EA260AA_13</vt:lpwstr>
  </property>
  <property fmtid="{D5CDD505-2E9C-101B-9397-08002B2CF9AE}" pid="4" name="KSOTemplateDocerSaveRecord">
    <vt:lpwstr>eyJoZGlkIjoiYWYzNDY2MDdmMjI4NTYxZDVmMDc3YzdiYjg2ODc5OTciLCJ1c2VySWQiOiI0NDUxMjI5MTQifQ==</vt:lpwstr>
  </property>
</Properties>
</file>