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宋体"/>
          <w:lang w:eastAsia="zh-CN"/>
        </w:rPr>
      </w:pPr>
      <w:r>
        <w:rPr>
          <w:rFonts w:hint="eastAsia"/>
          <w:lang w:eastAsia="zh-CN"/>
        </w:rPr>
        <w:t>附件</w:t>
      </w:r>
      <w:r>
        <w:rPr>
          <w:rFonts w:hint="eastAsia"/>
          <w:lang w:val="en-US" w:eastAsia="zh-CN"/>
        </w:rPr>
        <w:t>3：</w:t>
      </w:r>
      <w:commentRangeStart w:id="0"/>
      <w:r>
        <w:rPr>
          <w:rFonts w:hint="eastAsia"/>
          <w:lang w:val="en-US" w:eastAsia="zh-CN"/>
        </w:rPr>
        <w:t>评分标准表</w:t>
      </w:r>
      <w:commentRangeEnd w:id="0"/>
      <w:r>
        <w:commentReference w:id="0"/>
      </w:r>
      <w:bookmarkStart w:id="0" w:name="_GoBack"/>
      <w:bookmarkEnd w:id="0"/>
    </w:p>
    <w:tbl>
      <w:tblPr>
        <w:tblStyle w:val="6"/>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560"/>
        <w:gridCol w:w="3937"/>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2"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cs="宋体"/>
                <w:szCs w:val="21"/>
              </w:rPr>
            </w:pPr>
            <w:r>
              <w:rPr>
                <w:rFonts w:hint="eastAsia" w:ascii="宋体" w:hAnsi="宋体" w:cs="宋体"/>
                <w:szCs w:val="21"/>
              </w:rPr>
              <w:t>序号</w:t>
            </w:r>
          </w:p>
        </w:tc>
        <w:tc>
          <w:tcPr>
            <w:tcW w:w="156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评分因素及权重</w:t>
            </w:r>
          </w:p>
        </w:tc>
        <w:tc>
          <w:tcPr>
            <w:tcW w:w="393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cs="宋体"/>
                <w:szCs w:val="21"/>
              </w:rPr>
            </w:pPr>
            <w:r>
              <w:rPr>
                <w:rFonts w:hint="eastAsia" w:ascii="宋体" w:hAnsi="宋体" w:cs="宋体"/>
                <w:szCs w:val="21"/>
              </w:rPr>
              <w:t>评分标准</w:t>
            </w:r>
          </w:p>
        </w:tc>
        <w:tc>
          <w:tcPr>
            <w:tcW w:w="2412"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2"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一</w:t>
            </w:r>
          </w:p>
        </w:tc>
        <w:tc>
          <w:tcPr>
            <w:tcW w:w="156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价格</w:t>
            </w:r>
            <w:r>
              <w:rPr>
                <w:rFonts w:hint="eastAsia" w:ascii="宋体" w:hAnsi="宋体" w:cs="宋体"/>
                <w:szCs w:val="21"/>
                <w:lang w:val="en-US" w:eastAsia="zh-CN"/>
              </w:rPr>
              <w:t>40</w:t>
            </w:r>
            <w:r>
              <w:rPr>
                <w:rFonts w:hint="eastAsia" w:ascii="宋体" w:hAnsi="宋体" w:cs="宋体"/>
                <w:szCs w:val="21"/>
              </w:rPr>
              <w:t>%</w:t>
            </w:r>
          </w:p>
        </w:tc>
        <w:tc>
          <w:tcPr>
            <w:tcW w:w="3937"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价格得分=（评标基准价/投标报价）×权重×100（评标基准价指满足招标文件要求且投标价格最低的投标报价）。</w:t>
            </w:r>
          </w:p>
        </w:tc>
        <w:tc>
          <w:tcPr>
            <w:tcW w:w="2412" w:type="dxa"/>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77"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二</w:t>
            </w:r>
          </w:p>
        </w:tc>
        <w:tc>
          <w:tcPr>
            <w:tcW w:w="156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技术指标和配置对招标文件的响应性30%</w:t>
            </w:r>
          </w:p>
        </w:tc>
        <w:tc>
          <w:tcPr>
            <w:tcW w:w="3937"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完全符合招标文件要求，没有副偏离得</w:t>
            </w:r>
            <w:r>
              <w:rPr>
                <w:rFonts w:hint="eastAsia" w:ascii="宋体" w:hAnsi="宋体" w:cs="宋体"/>
                <w:szCs w:val="21"/>
                <w:lang w:val="en-US" w:eastAsia="zh-CN"/>
              </w:rPr>
              <w:t>25</w:t>
            </w:r>
            <w:r>
              <w:rPr>
                <w:rFonts w:hint="eastAsia" w:ascii="宋体" w:hAnsi="宋体" w:cs="宋体"/>
                <w:szCs w:val="21"/>
              </w:rPr>
              <w:t>分。与招标文件要求有非实质性负偏离的扣分，每条扣</w:t>
            </w:r>
            <w:r>
              <w:rPr>
                <w:rFonts w:hint="eastAsia" w:ascii="宋体" w:hAnsi="宋体" w:cs="宋体"/>
                <w:szCs w:val="21"/>
                <w:lang w:val="en-US" w:eastAsia="zh-CN"/>
              </w:rPr>
              <w:t>2</w:t>
            </w:r>
            <w:r>
              <w:rPr>
                <w:rFonts w:hint="eastAsia" w:ascii="宋体" w:hAnsi="宋体" w:cs="宋体"/>
                <w:szCs w:val="21"/>
              </w:rPr>
              <w:t>分,扣完为止。</w:t>
            </w:r>
            <w:r>
              <w:rPr>
                <w:rFonts w:hint="eastAsia" w:ascii="宋体" w:hAnsi="宋体" w:cs="宋体"/>
                <w:szCs w:val="21"/>
                <w:lang w:eastAsia="zh-CN"/>
              </w:rPr>
              <w:t>技术指标和配置高于招标文件要求并体现出产品性能和质量更优的可加分，每项加</w:t>
            </w:r>
            <w:r>
              <w:rPr>
                <w:rFonts w:hint="eastAsia" w:ascii="宋体" w:hAnsi="宋体" w:cs="宋体"/>
                <w:szCs w:val="21"/>
                <w:lang w:val="en-US" w:eastAsia="zh-CN"/>
              </w:rPr>
              <w:t>1分，最多加5分。</w:t>
            </w:r>
          </w:p>
        </w:tc>
        <w:tc>
          <w:tcPr>
            <w:tcW w:w="2412"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2"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三</w:t>
            </w:r>
          </w:p>
        </w:tc>
        <w:tc>
          <w:tcPr>
            <w:tcW w:w="156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信誉</w:t>
            </w:r>
            <w:r>
              <w:rPr>
                <w:rFonts w:hint="eastAsia" w:ascii="宋体" w:hAnsi="宋体" w:cs="宋体"/>
                <w:szCs w:val="21"/>
                <w:lang w:val="en-US" w:eastAsia="zh-CN"/>
              </w:rPr>
              <w:t>10</w:t>
            </w:r>
            <w:r>
              <w:rPr>
                <w:rFonts w:hint="eastAsia" w:ascii="宋体" w:hAnsi="宋体" w:cs="宋体"/>
                <w:szCs w:val="21"/>
              </w:rPr>
              <w:t>%</w:t>
            </w:r>
          </w:p>
        </w:tc>
        <w:tc>
          <w:tcPr>
            <w:tcW w:w="3937" w:type="dxa"/>
            <w:tcBorders>
              <w:top w:val="single" w:color="auto" w:sz="4" w:space="0"/>
              <w:left w:val="single" w:color="auto" w:sz="4" w:space="0"/>
              <w:bottom w:val="single" w:color="auto" w:sz="4" w:space="0"/>
              <w:right w:val="single" w:color="auto" w:sz="4" w:space="0"/>
            </w:tcBorders>
            <w:vAlign w:val="center"/>
          </w:tcPr>
          <w:p>
            <w:pPr>
              <w:numPr>
                <w:ilvl w:val="0"/>
                <w:numId w:val="1"/>
              </w:numPr>
              <w:jc w:val="left"/>
              <w:rPr>
                <w:rFonts w:hint="eastAsia"/>
                <w:color w:val="FF0000"/>
                <w:szCs w:val="21"/>
              </w:rPr>
            </w:pPr>
            <w:r>
              <w:rPr>
                <w:rFonts w:hint="eastAsia"/>
                <w:color w:val="FF0000"/>
                <w:szCs w:val="21"/>
              </w:rPr>
              <w:t>生产厂家获得《中国国家信息安全产品认证证书》得</w:t>
            </w:r>
            <w:r>
              <w:rPr>
                <w:rFonts w:hint="eastAsia"/>
                <w:color w:val="FF0000"/>
                <w:szCs w:val="21"/>
                <w:lang w:val="en-US" w:eastAsia="zh-CN"/>
              </w:rPr>
              <w:t>2</w:t>
            </w:r>
            <w:r>
              <w:rPr>
                <w:rFonts w:hint="eastAsia"/>
                <w:color w:val="FF0000"/>
                <w:szCs w:val="21"/>
              </w:rPr>
              <w:t>分；</w:t>
            </w:r>
          </w:p>
          <w:p>
            <w:pPr>
              <w:numPr>
                <w:ilvl w:val="0"/>
                <w:numId w:val="1"/>
              </w:numPr>
              <w:jc w:val="left"/>
              <w:rPr>
                <w:color w:val="FF0000"/>
                <w:szCs w:val="21"/>
              </w:rPr>
            </w:pPr>
            <w:r>
              <w:rPr>
                <w:rFonts w:hint="eastAsia"/>
                <w:color w:val="FF0000"/>
                <w:szCs w:val="21"/>
              </w:rPr>
              <w:t>获得《涉密信息系统产品检测证书》得2分</w:t>
            </w:r>
            <w:r>
              <w:rPr>
                <w:rFonts w:hint="eastAsia"/>
                <w:color w:val="FF0000"/>
                <w:szCs w:val="21"/>
                <w:lang w:eastAsia="zh-CN"/>
              </w:rPr>
              <w:t>；</w:t>
            </w:r>
          </w:p>
          <w:p>
            <w:pPr>
              <w:numPr>
                <w:ilvl w:val="0"/>
                <w:numId w:val="1"/>
              </w:numPr>
              <w:jc w:val="left"/>
              <w:rPr>
                <w:color w:val="FF0000"/>
                <w:szCs w:val="21"/>
              </w:rPr>
            </w:pPr>
            <w:r>
              <w:rPr>
                <w:rFonts w:hint="eastAsia"/>
                <w:color w:val="FF0000"/>
                <w:szCs w:val="21"/>
              </w:rPr>
              <w:t>投标产品（服务器、磁盘阵列）生产厂商获得高新技术企业认证的，得</w:t>
            </w:r>
            <w:r>
              <w:rPr>
                <w:rFonts w:hint="eastAsia"/>
                <w:color w:val="FF0000"/>
                <w:szCs w:val="21"/>
                <w:lang w:val="en-US" w:eastAsia="zh-CN"/>
              </w:rPr>
              <w:t>2</w:t>
            </w:r>
            <w:r>
              <w:rPr>
                <w:rFonts w:hint="eastAsia"/>
                <w:color w:val="FF0000"/>
                <w:szCs w:val="21"/>
              </w:rPr>
              <w:t>分；</w:t>
            </w:r>
          </w:p>
          <w:p>
            <w:pPr>
              <w:suppressAutoHyphens/>
              <w:snapToGrid w:val="0"/>
              <w:jc w:val="left"/>
              <w:rPr>
                <w:color w:val="FF0000"/>
                <w:szCs w:val="21"/>
              </w:rPr>
            </w:pPr>
            <w:r>
              <w:rPr>
                <w:rFonts w:hint="eastAsia"/>
                <w:color w:val="FF0000"/>
                <w:szCs w:val="21"/>
                <w:lang w:val="en-US" w:eastAsia="zh-CN"/>
              </w:rPr>
              <w:t>4</w:t>
            </w:r>
            <w:r>
              <w:rPr>
                <w:rFonts w:hint="eastAsia"/>
                <w:color w:val="FF0000"/>
                <w:szCs w:val="21"/>
              </w:rPr>
              <w:t>、主要投标产品（服务器、磁盘阵列）生产厂商获得国家科学技术进步奖，且在计算机系统技术领域获奖的，得</w:t>
            </w:r>
            <w:r>
              <w:rPr>
                <w:rFonts w:hint="eastAsia"/>
                <w:color w:val="FF0000"/>
                <w:szCs w:val="21"/>
                <w:lang w:val="en-US" w:eastAsia="zh-CN"/>
              </w:rPr>
              <w:t>2</w:t>
            </w:r>
            <w:r>
              <w:rPr>
                <w:rFonts w:hint="eastAsia"/>
                <w:color w:val="FF0000"/>
                <w:szCs w:val="21"/>
              </w:rPr>
              <w:t>分；其他领域不得分；</w:t>
            </w:r>
          </w:p>
          <w:p>
            <w:pPr>
              <w:suppressAutoHyphens/>
              <w:snapToGrid w:val="0"/>
              <w:spacing w:line="276" w:lineRule="auto"/>
              <w:jc w:val="left"/>
              <w:rPr>
                <w:rFonts w:hint="eastAsia"/>
                <w:color w:val="FF0000"/>
                <w:szCs w:val="21"/>
              </w:rPr>
            </w:pPr>
            <w:r>
              <w:rPr>
                <w:rFonts w:hint="eastAsia"/>
                <w:color w:val="FF0000"/>
                <w:szCs w:val="21"/>
                <w:lang w:val="en-US" w:eastAsia="zh-CN"/>
              </w:rPr>
              <w:t>5</w:t>
            </w:r>
            <w:r>
              <w:rPr>
                <w:rFonts w:hint="eastAsia"/>
                <w:color w:val="FF0000"/>
                <w:szCs w:val="21"/>
              </w:rPr>
              <w:t>、主要投标产品（服务器、磁盘阵列）生产厂商在数据安全领域通过国家信息安全测评，并提供</w:t>
            </w:r>
            <w:r>
              <w:rPr>
                <w:color w:val="FF0000"/>
                <w:szCs w:val="21"/>
              </w:rPr>
              <w:t>EAL3</w:t>
            </w:r>
            <w:r>
              <w:rPr>
                <w:rFonts w:hint="eastAsia"/>
                <w:color w:val="FF0000"/>
                <w:szCs w:val="21"/>
              </w:rPr>
              <w:t>及以上级别测评证书的，得</w:t>
            </w:r>
            <w:r>
              <w:rPr>
                <w:rFonts w:hint="eastAsia"/>
                <w:color w:val="FF0000"/>
                <w:szCs w:val="21"/>
                <w:lang w:val="en-US" w:eastAsia="zh-CN"/>
              </w:rPr>
              <w:t>3</w:t>
            </w:r>
            <w:r>
              <w:rPr>
                <w:rFonts w:hint="eastAsia"/>
                <w:color w:val="FF0000"/>
                <w:szCs w:val="21"/>
              </w:rPr>
              <w:t>分；提供</w:t>
            </w:r>
            <w:r>
              <w:rPr>
                <w:color w:val="FF0000"/>
                <w:szCs w:val="21"/>
              </w:rPr>
              <w:t>EAL2</w:t>
            </w:r>
            <w:r>
              <w:rPr>
                <w:rFonts w:hint="eastAsia"/>
                <w:color w:val="FF0000"/>
                <w:szCs w:val="21"/>
              </w:rPr>
              <w:t>级别测评证书的，</w:t>
            </w:r>
            <w:r>
              <w:rPr>
                <w:color w:val="FF0000"/>
                <w:szCs w:val="21"/>
              </w:rPr>
              <w:t>1</w:t>
            </w:r>
            <w:r>
              <w:rPr>
                <w:rFonts w:hint="eastAsia"/>
                <w:color w:val="FF0000"/>
                <w:szCs w:val="21"/>
              </w:rPr>
              <w:t>分；提供</w:t>
            </w:r>
            <w:r>
              <w:rPr>
                <w:color w:val="FF0000"/>
                <w:szCs w:val="21"/>
              </w:rPr>
              <w:t>EAL1</w:t>
            </w:r>
            <w:r>
              <w:rPr>
                <w:rFonts w:hint="eastAsia"/>
                <w:color w:val="FF0000"/>
                <w:szCs w:val="21"/>
              </w:rPr>
              <w:t>级别测评证书的，</w:t>
            </w:r>
            <w:r>
              <w:rPr>
                <w:color w:val="FF0000"/>
                <w:szCs w:val="21"/>
              </w:rPr>
              <w:t>0.5</w:t>
            </w:r>
            <w:r>
              <w:rPr>
                <w:rFonts w:hint="eastAsia"/>
                <w:color w:val="FF0000"/>
                <w:szCs w:val="21"/>
              </w:rPr>
              <w:t>分；</w:t>
            </w:r>
          </w:p>
          <w:p>
            <w:pPr>
              <w:suppressAutoHyphens/>
              <w:snapToGrid w:val="0"/>
              <w:spacing w:line="276" w:lineRule="auto"/>
              <w:jc w:val="left"/>
              <w:rPr>
                <w:rFonts w:hint="eastAsia" w:eastAsia="宋体"/>
                <w:color w:val="FF0000"/>
                <w:szCs w:val="21"/>
                <w:lang w:eastAsia="zh-CN"/>
              </w:rPr>
            </w:pPr>
            <w:r>
              <w:rPr>
                <w:rFonts w:hint="eastAsia"/>
                <w:color w:val="FF0000"/>
                <w:szCs w:val="21"/>
                <w:lang w:eastAsia="zh-CN"/>
              </w:rPr>
              <w:t>（注：累计得分最高为</w:t>
            </w:r>
            <w:r>
              <w:rPr>
                <w:rFonts w:hint="eastAsia"/>
                <w:color w:val="FF0000"/>
                <w:szCs w:val="21"/>
                <w:lang w:val="en-US" w:eastAsia="zh-CN"/>
              </w:rPr>
              <w:t>10分</w:t>
            </w:r>
            <w:r>
              <w:rPr>
                <w:rFonts w:hint="eastAsia"/>
                <w:color w:val="FF0000"/>
                <w:szCs w:val="21"/>
                <w:lang w:eastAsia="zh-CN"/>
              </w:rPr>
              <w:t>）</w:t>
            </w:r>
          </w:p>
          <w:p>
            <w:pPr>
              <w:spacing w:line="276" w:lineRule="auto"/>
              <w:jc w:val="center"/>
              <w:rPr>
                <w:rFonts w:ascii="宋体" w:hAnsi="宋体" w:cs="宋体"/>
                <w:szCs w:val="21"/>
              </w:rPr>
            </w:pPr>
          </w:p>
        </w:tc>
        <w:tc>
          <w:tcPr>
            <w:tcW w:w="2412"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hint="eastAsia" w:ascii="宋体" w:hAnsi="宋体" w:eastAsia="宋体" w:cs="宋体"/>
                <w:szCs w:val="21"/>
                <w:lang w:eastAsia="zh-CN"/>
              </w:rPr>
            </w:pPr>
            <w:r>
              <w:rPr>
                <w:rFonts w:hint="eastAsia" w:ascii="宋体" w:hAnsi="宋体" w:cs="宋体"/>
                <w:szCs w:val="21"/>
                <w:lang w:eastAsia="zh-CN"/>
              </w:rPr>
              <w:t>以国家行业管理机构有效证书或文件为准（提供复印件并加盖鲜章）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2"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四</w:t>
            </w:r>
          </w:p>
        </w:tc>
        <w:tc>
          <w:tcPr>
            <w:tcW w:w="156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售后服务10%</w:t>
            </w:r>
          </w:p>
        </w:tc>
        <w:tc>
          <w:tcPr>
            <w:tcW w:w="3937"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hint="eastAsia" w:ascii="宋体" w:hAnsi="宋体" w:cs="宋体"/>
                <w:szCs w:val="21"/>
              </w:rPr>
            </w:pPr>
            <w:r>
              <w:rPr>
                <w:rFonts w:hint="eastAsia" w:ascii="宋体" w:hAnsi="宋体" w:cs="宋体"/>
                <w:szCs w:val="21"/>
              </w:rPr>
              <w:t>根据各投标人的售后服务承诺横向比较评分，优得10-8分；良得7-4分；一般得3-1分；</w:t>
            </w:r>
          </w:p>
        </w:tc>
        <w:tc>
          <w:tcPr>
            <w:tcW w:w="2412"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15"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hint="eastAsia" w:ascii="宋体" w:hAnsi="宋体" w:eastAsia="宋体" w:cs="宋体"/>
                <w:szCs w:val="21"/>
                <w:lang w:eastAsia="zh-CN"/>
              </w:rPr>
            </w:pPr>
            <w:r>
              <w:rPr>
                <w:rFonts w:hint="eastAsia" w:ascii="宋体" w:hAnsi="宋体" w:cs="宋体"/>
                <w:szCs w:val="21"/>
                <w:lang w:eastAsia="zh-CN"/>
              </w:rPr>
              <w:t>五</w:t>
            </w:r>
          </w:p>
        </w:tc>
        <w:tc>
          <w:tcPr>
            <w:tcW w:w="156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业绩</w:t>
            </w:r>
            <w:r>
              <w:rPr>
                <w:rFonts w:hint="eastAsia" w:ascii="宋体" w:hAnsi="宋体" w:cs="宋体"/>
                <w:szCs w:val="21"/>
                <w:lang w:val="en-US" w:eastAsia="zh-CN"/>
              </w:rPr>
              <w:t>6%</w:t>
            </w:r>
          </w:p>
        </w:tc>
        <w:tc>
          <w:tcPr>
            <w:tcW w:w="3937"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新宋体" w:hAnsi="新宋体" w:eastAsia="新宋体"/>
                <w:szCs w:val="21"/>
                <w:lang w:val="en-US" w:eastAsia="zh-CN"/>
              </w:rPr>
              <w:t>2013年1月1日至今</w:t>
            </w:r>
            <w:r>
              <w:rPr>
                <w:rFonts w:hint="eastAsia" w:ascii="新宋体" w:hAnsi="新宋体" w:eastAsia="新宋体" w:cs="宋体"/>
                <w:szCs w:val="21"/>
                <w:lang w:val="en-US" w:eastAsia="zh-CN"/>
              </w:rPr>
              <w:t>IT</w:t>
            </w:r>
            <w:r>
              <w:rPr>
                <w:rFonts w:hint="eastAsia" w:ascii="新宋体" w:hAnsi="新宋体" w:eastAsia="新宋体" w:cs="宋体"/>
                <w:szCs w:val="21"/>
              </w:rPr>
              <w:t>硬件产品</w:t>
            </w:r>
            <w:r>
              <w:rPr>
                <w:rFonts w:hint="eastAsia" w:ascii="新宋体" w:hAnsi="新宋体" w:eastAsia="新宋体"/>
                <w:szCs w:val="21"/>
              </w:rPr>
              <w:t>的业绩</w:t>
            </w:r>
            <w:r>
              <w:rPr>
                <w:rFonts w:hint="eastAsia" w:ascii="新宋体" w:hAnsi="新宋体" w:eastAsia="新宋体" w:cs="宋体"/>
                <w:szCs w:val="21"/>
              </w:rPr>
              <w:t>，</w:t>
            </w:r>
            <w:r>
              <w:rPr>
                <w:rFonts w:hint="eastAsia" w:ascii="新宋体" w:hAnsi="新宋体" w:eastAsia="新宋体"/>
                <w:szCs w:val="21"/>
              </w:rPr>
              <w:t>相当于或优于招标项目规模的每个合同</w:t>
            </w:r>
            <w:r>
              <w:rPr>
                <w:rFonts w:hint="eastAsia" w:ascii="新宋体" w:hAnsi="新宋体" w:eastAsia="新宋体"/>
                <w:szCs w:val="21"/>
                <w:lang w:val="en-US" w:eastAsia="zh-CN"/>
              </w:rPr>
              <w:t>2</w:t>
            </w:r>
            <w:r>
              <w:rPr>
                <w:rFonts w:hint="eastAsia" w:ascii="新宋体" w:hAnsi="新宋体" w:eastAsia="新宋体"/>
                <w:szCs w:val="21"/>
              </w:rPr>
              <w:t>分，其他每个合同</w:t>
            </w:r>
            <w:r>
              <w:rPr>
                <w:rFonts w:hint="eastAsia" w:ascii="新宋体" w:hAnsi="新宋体" w:eastAsia="新宋体"/>
                <w:szCs w:val="21"/>
                <w:lang w:val="en-US" w:eastAsia="zh-CN"/>
              </w:rPr>
              <w:t>1</w:t>
            </w:r>
            <w:r>
              <w:rPr>
                <w:rFonts w:hint="eastAsia" w:ascii="新宋体" w:hAnsi="新宋体" w:eastAsia="新宋体"/>
                <w:szCs w:val="21"/>
              </w:rPr>
              <w:t>分，满分</w:t>
            </w:r>
            <w:r>
              <w:rPr>
                <w:rFonts w:hint="eastAsia" w:ascii="新宋体" w:hAnsi="新宋体" w:eastAsia="新宋体"/>
                <w:szCs w:val="21"/>
                <w:lang w:val="en-US" w:eastAsia="zh-CN"/>
              </w:rPr>
              <w:t>6</w:t>
            </w:r>
            <w:r>
              <w:rPr>
                <w:rFonts w:hint="eastAsia" w:ascii="新宋体" w:hAnsi="新宋体" w:eastAsia="新宋体"/>
                <w:szCs w:val="21"/>
              </w:rPr>
              <w:t>分。</w:t>
            </w:r>
          </w:p>
        </w:tc>
        <w:tc>
          <w:tcPr>
            <w:tcW w:w="2412"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新宋体" w:hAnsi="新宋体" w:eastAsia="新宋体"/>
                <w:szCs w:val="21"/>
              </w:rPr>
              <w:t>所提供合同复印件中须能明确确认为同类产品</w:t>
            </w:r>
            <w:r>
              <w:rPr>
                <w:rFonts w:hint="eastAsia" w:ascii="新宋体" w:hAnsi="新宋体" w:eastAsia="新宋体"/>
                <w:szCs w:val="21"/>
                <w:lang w:eastAsia="zh-CN"/>
              </w:rPr>
              <w:t>，</w:t>
            </w:r>
            <w:r>
              <w:rPr>
                <w:rFonts w:hint="eastAsia" w:ascii="宋体" w:hAnsi="宋体" w:cs="宋体"/>
                <w:szCs w:val="21"/>
                <w:lang w:eastAsia="zh-CN"/>
              </w:rPr>
              <w:t>以</w:t>
            </w:r>
            <w:r>
              <w:rPr>
                <w:rFonts w:hint="eastAsia" w:ascii="宋体" w:hAnsi="宋体" w:cs="宋体"/>
                <w:szCs w:val="21"/>
              </w:rPr>
              <w:t>合同复印件</w:t>
            </w:r>
            <w:r>
              <w:rPr>
                <w:rFonts w:hint="eastAsia" w:ascii="宋体" w:hAnsi="宋体" w:cs="宋体"/>
                <w:szCs w:val="21"/>
                <w:lang w:eastAsia="zh-CN"/>
              </w:rPr>
              <w:t>（加盖鲜章为准）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2"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hint="eastAsia" w:ascii="宋体" w:hAnsi="宋体" w:eastAsia="宋体" w:cs="宋体"/>
                <w:szCs w:val="21"/>
                <w:lang w:eastAsia="zh-CN"/>
              </w:rPr>
            </w:pPr>
            <w:r>
              <w:rPr>
                <w:rFonts w:hint="eastAsia" w:ascii="宋体" w:hAnsi="宋体" w:cs="宋体"/>
                <w:szCs w:val="21"/>
                <w:lang w:eastAsia="zh-CN"/>
              </w:rPr>
              <w:t>六</w:t>
            </w:r>
          </w:p>
        </w:tc>
        <w:tc>
          <w:tcPr>
            <w:tcW w:w="156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投标人财务状况</w:t>
            </w:r>
            <w:r>
              <w:rPr>
                <w:rFonts w:hint="eastAsia" w:ascii="宋体" w:hAnsi="宋体" w:cs="宋体"/>
                <w:szCs w:val="21"/>
                <w:lang w:val="en-US" w:eastAsia="zh-CN"/>
              </w:rPr>
              <w:t>2%</w:t>
            </w:r>
          </w:p>
        </w:tc>
        <w:tc>
          <w:tcPr>
            <w:tcW w:w="3937" w:type="dxa"/>
            <w:tcBorders>
              <w:top w:val="single" w:color="auto" w:sz="4" w:space="0"/>
              <w:left w:val="single" w:color="auto" w:sz="4" w:space="0"/>
              <w:bottom w:val="single" w:color="auto" w:sz="4" w:space="0"/>
              <w:right w:val="single" w:color="auto" w:sz="4" w:space="0"/>
            </w:tcBorders>
            <w:vAlign w:val="center"/>
          </w:tcPr>
          <w:p>
            <w:pPr>
              <w:numPr>
                <w:ilvl w:val="0"/>
                <w:numId w:val="2"/>
              </w:numPr>
              <w:spacing w:line="276" w:lineRule="auto"/>
              <w:rPr>
                <w:rFonts w:hint="eastAsia" w:ascii="宋体" w:hAnsi="宋体" w:cs="宋体"/>
                <w:kern w:val="0"/>
                <w:szCs w:val="21"/>
              </w:rPr>
            </w:pPr>
            <w:r>
              <w:rPr>
                <w:rFonts w:hint="eastAsia" w:ascii="宋体" w:hAnsi="宋体" w:cs="宋体"/>
                <w:kern w:val="0"/>
                <w:szCs w:val="21"/>
              </w:rPr>
              <w:t>提供近</w:t>
            </w:r>
            <w:r>
              <w:rPr>
                <w:rFonts w:hint="eastAsia" w:ascii="宋体" w:hAnsi="宋体" w:cs="宋体"/>
                <w:kern w:val="0"/>
                <w:szCs w:val="21"/>
                <w:lang w:val="en-US" w:eastAsia="zh-CN"/>
              </w:rPr>
              <w:t>2013-2015年</w:t>
            </w:r>
            <w:r>
              <w:rPr>
                <w:rFonts w:hint="eastAsia" w:ascii="宋体" w:hAnsi="宋体" w:cs="宋体"/>
                <w:kern w:val="0"/>
                <w:szCs w:val="21"/>
              </w:rPr>
              <w:t>度会计师事务所审计并</w:t>
            </w:r>
            <w:r>
              <w:rPr>
                <w:rFonts w:hint="eastAsia" w:ascii="宋体" w:hAnsi="宋体"/>
                <w:szCs w:val="21"/>
              </w:rPr>
              <w:t>附审计报告</w:t>
            </w:r>
            <w:r>
              <w:rPr>
                <w:rFonts w:hint="eastAsia" w:ascii="宋体" w:hAnsi="宋体" w:cs="宋体"/>
                <w:kern w:val="0"/>
                <w:szCs w:val="21"/>
              </w:rPr>
              <w:t>的财务报表1分，仅提供一年的财务报表及审计报告的</w:t>
            </w:r>
            <w:r>
              <w:rPr>
                <w:rFonts w:hint="eastAsia" w:ascii="宋体" w:hAnsi="宋体" w:cs="宋体"/>
                <w:kern w:val="0"/>
                <w:szCs w:val="21"/>
                <w:lang w:val="en-US" w:eastAsia="zh-CN"/>
              </w:rPr>
              <w:t>0.5</w:t>
            </w:r>
            <w:r>
              <w:rPr>
                <w:rFonts w:hint="eastAsia" w:ascii="宋体" w:hAnsi="宋体" w:cs="宋体"/>
                <w:kern w:val="0"/>
                <w:szCs w:val="21"/>
              </w:rPr>
              <w:t>分</w:t>
            </w:r>
          </w:p>
          <w:p>
            <w:pPr>
              <w:numPr>
                <w:ilvl w:val="0"/>
                <w:numId w:val="0"/>
              </w:numPr>
              <w:spacing w:line="276" w:lineRule="auto"/>
              <w:rPr>
                <w:rFonts w:ascii="宋体" w:hAnsi="宋体"/>
                <w:szCs w:val="21"/>
              </w:rPr>
            </w:pPr>
            <w:r>
              <w:rPr>
                <w:rFonts w:hint="eastAsia" w:ascii="宋体" w:hAnsi="宋体"/>
                <w:szCs w:val="21"/>
              </w:rPr>
              <w:t>2、根据提供的财务报表评分：</w:t>
            </w:r>
            <w:r>
              <w:rPr>
                <w:rFonts w:hint="eastAsia" w:ascii="宋体" w:hAnsi="宋体" w:cs="宋体"/>
                <w:szCs w:val="21"/>
              </w:rPr>
              <w:t>财务状况良好的得</w:t>
            </w:r>
            <w:r>
              <w:rPr>
                <w:rFonts w:hint="eastAsia" w:ascii="宋体" w:hAnsi="宋体" w:cs="宋体"/>
                <w:szCs w:val="21"/>
                <w:lang w:val="en-US" w:eastAsia="zh-CN"/>
              </w:rPr>
              <w:t>1</w:t>
            </w:r>
            <w:r>
              <w:rPr>
                <w:rFonts w:hint="eastAsia" w:ascii="宋体" w:hAnsi="宋体" w:cs="宋体"/>
                <w:szCs w:val="21"/>
              </w:rPr>
              <w:t>分；一般的得</w:t>
            </w:r>
            <w:r>
              <w:rPr>
                <w:rFonts w:hint="eastAsia" w:ascii="宋体" w:hAnsi="宋体" w:cs="宋体"/>
                <w:szCs w:val="21"/>
                <w:lang w:val="en-US" w:eastAsia="zh-CN"/>
              </w:rPr>
              <w:t>0.5</w:t>
            </w:r>
            <w:r>
              <w:rPr>
                <w:rFonts w:hint="eastAsia" w:ascii="宋体" w:hAnsi="宋体" w:cs="宋体"/>
                <w:szCs w:val="21"/>
              </w:rPr>
              <w:t>分；差的不得分</w:t>
            </w:r>
            <w:r>
              <w:rPr>
                <w:rFonts w:hint="eastAsia" w:ascii="宋体" w:hAnsi="宋体"/>
                <w:szCs w:val="21"/>
              </w:rPr>
              <w:t>。</w:t>
            </w:r>
          </w:p>
          <w:p>
            <w:pPr>
              <w:spacing w:line="276" w:lineRule="auto"/>
              <w:jc w:val="center"/>
              <w:rPr>
                <w:rFonts w:ascii="宋体" w:hAnsi="宋体" w:cs="宋体"/>
                <w:szCs w:val="21"/>
              </w:rPr>
            </w:pPr>
          </w:p>
        </w:tc>
        <w:tc>
          <w:tcPr>
            <w:tcW w:w="2412"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以经有资格的会计师事务所审计的年度财务报告书为准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32"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hint="eastAsia" w:ascii="宋体" w:hAnsi="宋体" w:eastAsia="宋体" w:cs="宋体"/>
                <w:szCs w:val="21"/>
                <w:lang w:eastAsia="zh-CN"/>
              </w:rPr>
            </w:pPr>
            <w:r>
              <w:rPr>
                <w:rFonts w:hint="eastAsia" w:ascii="宋体" w:hAnsi="宋体" w:cs="宋体"/>
                <w:szCs w:val="21"/>
                <w:lang w:eastAsia="zh-CN"/>
              </w:rPr>
              <w:t>七</w:t>
            </w:r>
          </w:p>
        </w:tc>
        <w:tc>
          <w:tcPr>
            <w:tcW w:w="1560"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投标文件规范性、完整性</w:t>
            </w:r>
            <w:r>
              <w:rPr>
                <w:rFonts w:hint="eastAsia" w:ascii="宋体" w:hAnsi="宋体" w:cs="宋体"/>
                <w:szCs w:val="21"/>
                <w:lang w:val="en-US" w:eastAsia="zh-CN"/>
              </w:rPr>
              <w:t>2%</w:t>
            </w:r>
          </w:p>
        </w:tc>
        <w:tc>
          <w:tcPr>
            <w:tcW w:w="3937"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r>
              <w:rPr>
                <w:rFonts w:hint="eastAsia" w:ascii="宋体" w:hAnsi="宋体" w:cs="宋体"/>
                <w:szCs w:val="21"/>
              </w:rPr>
              <w:t>投标文件制作规范，没有细微偏差情形的得满分，有一项细微偏差扣</w:t>
            </w:r>
            <w:r>
              <w:rPr>
                <w:rFonts w:hint="eastAsia" w:ascii="宋体" w:hAnsi="宋体" w:cs="宋体"/>
                <w:szCs w:val="21"/>
                <w:lang w:val="en-US" w:eastAsia="zh-CN"/>
              </w:rPr>
              <w:t>0.5</w:t>
            </w:r>
            <w:r>
              <w:rPr>
                <w:rFonts w:hint="eastAsia" w:ascii="宋体" w:hAnsi="宋体" w:cs="宋体"/>
                <w:szCs w:val="21"/>
              </w:rPr>
              <w:t>分，直到该项分值扣完为止。</w:t>
            </w:r>
          </w:p>
        </w:tc>
        <w:tc>
          <w:tcPr>
            <w:tcW w:w="2412"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ascii="宋体" w:hAnsi="宋体" w:cs="宋体"/>
                <w:szCs w:val="21"/>
              </w:rPr>
            </w:pPr>
          </w:p>
        </w:tc>
      </w:tr>
    </w:tbl>
    <w:p>
      <w:pPr/>
    </w:p>
    <w:sectPr>
      <w:pgSz w:w="12240" w:h="15840"/>
      <w:pgMar w:top="1440" w:right="1800" w:bottom="1440" w:left="1800" w:header="708" w:footer="708" w:gutter="0"/>
      <w:cols w:space="708"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16-06-20T14:02:29Z" w:initials="A">
    <w:p>
      <w:pPr>
        <w:pStyle w:val="2"/>
        <w:rPr>
          <w:rFonts w:hint="eastAsia" w:eastAsia="宋体"/>
          <w:lang w:eastAsia="zh-CN"/>
        </w:rPr>
      </w:pPr>
      <w:r>
        <w:rPr>
          <w:rFonts w:hint="eastAsia"/>
          <w:lang w:eastAsia="zh-CN"/>
        </w:rPr>
        <w:t>评分标准比例、及技术部分评分细则需请信息所确认</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78C48"/>
    <w:multiLevelType w:val="singleLevel"/>
    <w:tmpl w:val="57678C48"/>
    <w:lvl w:ilvl="0" w:tentative="0">
      <w:start w:val="1"/>
      <w:numFmt w:val="decimal"/>
      <w:suff w:val="nothing"/>
      <w:lvlText w:val="%1、"/>
      <w:lvlJc w:val="left"/>
    </w:lvl>
  </w:abstractNum>
  <w:abstractNum w:abstractNumId="1">
    <w:nsid w:val="57678F9F"/>
    <w:multiLevelType w:val="singleLevel"/>
    <w:tmpl w:val="57678F9F"/>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542B6B"/>
    <w:rsid w:val="000B7AF5"/>
    <w:rsid w:val="000E20A2"/>
    <w:rsid w:val="0013638A"/>
    <w:rsid w:val="001B72ED"/>
    <w:rsid w:val="001E4BFA"/>
    <w:rsid w:val="001F6584"/>
    <w:rsid w:val="001F7028"/>
    <w:rsid w:val="00213AA0"/>
    <w:rsid w:val="002243B5"/>
    <w:rsid w:val="00284993"/>
    <w:rsid w:val="002A1501"/>
    <w:rsid w:val="002B620D"/>
    <w:rsid w:val="002C7EFB"/>
    <w:rsid w:val="002E3946"/>
    <w:rsid w:val="0032280E"/>
    <w:rsid w:val="0036384E"/>
    <w:rsid w:val="003C0697"/>
    <w:rsid w:val="00406EA1"/>
    <w:rsid w:val="004370F4"/>
    <w:rsid w:val="00474A88"/>
    <w:rsid w:val="00475851"/>
    <w:rsid w:val="004A5A40"/>
    <w:rsid w:val="004F2F51"/>
    <w:rsid w:val="00542B6B"/>
    <w:rsid w:val="0054703B"/>
    <w:rsid w:val="00550342"/>
    <w:rsid w:val="00574C2D"/>
    <w:rsid w:val="00606999"/>
    <w:rsid w:val="006072F2"/>
    <w:rsid w:val="006B11EC"/>
    <w:rsid w:val="00720E14"/>
    <w:rsid w:val="00792878"/>
    <w:rsid w:val="00796A5D"/>
    <w:rsid w:val="007C1CE4"/>
    <w:rsid w:val="007F11F8"/>
    <w:rsid w:val="007F4872"/>
    <w:rsid w:val="00846F1F"/>
    <w:rsid w:val="008926B2"/>
    <w:rsid w:val="00953497"/>
    <w:rsid w:val="009C7E17"/>
    <w:rsid w:val="009D0657"/>
    <w:rsid w:val="00A115D8"/>
    <w:rsid w:val="00A25FC9"/>
    <w:rsid w:val="00A47A2B"/>
    <w:rsid w:val="00AC7E3D"/>
    <w:rsid w:val="00AE70F0"/>
    <w:rsid w:val="00B26E0F"/>
    <w:rsid w:val="00B46549"/>
    <w:rsid w:val="00B850B4"/>
    <w:rsid w:val="00BC3AD9"/>
    <w:rsid w:val="00C7096B"/>
    <w:rsid w:val="00CA222E"/>
    <w:rsid w:val="00CC14CD"/>
    <w:rsid w:val="00CD3B03"/>
    <w:rsid w:val="00D35A2A"/>
    <w:rsid w:val="00E553C6"/>
    <w:rsid w:val="00E84BF9"/>
    <w:rsid w:val="00E93B9F"/>
    <w:rsid w:val="00ED4A88"/>
    <w:rsid w:val="00EF0C5E"/>
    <w:rsid w:val="00F254BA"/>
    <w:rsid w:val="00F6542C"/>
    <w:rsid w:val="00FC7BB0"/>
    <w:rsid w:val="00FD3CE7"/>
    <w:rsid w:val="11B20D26"/>
    <w:rsid w:val="336421AE"/>
    <w:rsid w:val="6789056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0"/>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unhideWhenUsed/>
    <w:uiPriority w:val="99"/>
    <w:pPr>
      <w:jc w:val="left"/>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rFonts w:ascii="Times New Roman" w:hAnsi="Times New Roman" w:eastAsia="宋体" w:cs="Times New Roman"/>
      <w:kern w:val="2"/>
      <w:sz w:val="18"/>
      <w:szCs w:val="18"/>
    </w:rPr>
  </w:style>
  <w:style w:type="character" w:customStyle="1" w:styleId="8">
    <w:name w:val="页脚 Char"/>
    <w:basedOn w:val="5"/>
    <w:link w:val="3"/>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 Packard</Company>
  <Pages>3</Pages>
  <Words>208</Words>
  <Characters>1190</Characters>
  <Lines>9</Lines>
  <Paragraphs>2</Paragraphs>
  <ScaleCrop>false</ScaleCrop>
  <LinksUpToDate>false</LinksUpToDate>
  <CharactersWithSpaces>1396</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2016-06-13T06:58:00Z</dcterms:created>
  <dc:creator>xian, zhang</dc:creator>
  <cp:lastModifiedBy>Administrator</cp:lastModifiedBy>
  <dcterms:modified xsi:type="dcterms:W3CDTF">2016-06-20T06:03:06Z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